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tLeast"/>
        <w:ind w:left="0"/>
        <w:jc w:val="center"/>
        <w:rPr>
          <w:rFonts w:eastAsia="方正小标宋_GBK"/>
          <w:color w:val="0C0C0C" w:themeColor="text1" w:themeTint="F2"/>
          <w:sz w:val="48"/>
          <w:szCs w:val="48"/>
        </w:rPr>
      </w:pPr>
      <w:r>
        <w:rPr>
          <w:rFonts w:hint="eastAsia" w:eastAsia="方正小标宋_GBK"/>
          <w:color w:val="0C0C0C" w:themeColor="text1" w:themeTint="F2"/>
          <w:sz w:val="48"/>
          <w:szCs w:val="48"/>
          <w:lang w:val="en-US" w:eastAsia="zh-CN"/>
        </w:rPr>
        <w:t>2023</w:t>
      </w:r>
      <w:r>
        <w:rPr>
          <w:rFonts w:eastAsia="方正小标宋_GBK"/>
          <w:color w:val="0C0C0C" w:themeColor="text1" w:themeTint="F2"/>
          <w:sz w:val="48"/>
          <w:szCs w:val="48"/>
        </w:rPr>
        <w:t>年度</w:t>
      </w:r>
      <w:r>
        <w:rPr>
          <w:rFonts w:hint="eastAsia" w:eastAsia="方正小标宋_GBK"/>
          <w:color w:val="0C0C0C" w:themeColor="text1" w:themeTint="F2"/>
          <w:sz w:val="48"/>
          <w:szCs w:val="48"/>
          <w:lang w:eastAsia="zh-CN"/>
        </w:rPr>
        <w:t>上江圩镇中心幼儿园</w:t>
      </w:r>
      <w:r>
        <w:rPr>
          <w:rFonts w:eastAsia="方正小标宋_GBK"/>
          <w:color w:val="0C0C0C" w:themeColor="text1" w:themeTint="F2"/>
          <w:sz w:val="48"/>
          <w:szCs w:val="48"/>
        </w:rPr>
        <w:t>整体支出</w:t>
      </w:r>
    </w:p>
    <w:p>
      <w:pPr>
        <w:keepNext w:val="0"/>
        <w:keepLines w:val="0"/>
        <w:pageBreakBefore w:val="0"/>
        <w:kinsoku/>
        <w:wordWrap/>
        <w:overflowPunct/>
        <w:topLinePunct w:val="0"/>
        <w:autoSpaceDE/>
        <w:autoSpaceDN/>
        <w:bidi w:val="0"/>
        <w:adjustRightInd/>
        <w:snapToGrid/>
        <w:spacing w:line="240" w:lineRule="atLeast"/>
        <w:ind w:left="0"/>
        <w:jc w:val="center"/>
        <w:rPr>
          <w:rFonts w:eastAsia="方正小标宋_GBK"/>
          <w:color w:val="0C0C0C" w:themeColor="text1" w:themeTint="F2"/>
          <w:sz w:val="48"/>
          <w:szCs w:val="48"/>
        </w:rPr>
      </w:pPr>
      <w:r>
        <w:rPr>
          <w:rFonts w:eastAsia="方正小标宋_GBK"/>
          <w:color w:val="0C0C0C" w:themeColor="text1" w:themeTint="F2"/>
          <w:sz w:val="48"/>
          <w:szCs w:val="48"/>
        </w:rPr>
        <w:t>绩效自评报告</w:t>
      </w: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firstLine="880" w:firstLineChars="200"/>
        <w:jc w:val="center"/>
        <w:rPr>
          <w:rFonts w:eastAsia="黑体"/>
          <w:color w:val="0C0C0C" w:themeColor="text1" w:themeTint="F2"/>
          <w:sz w:val="44"/>
          <w:szCs w:val="44"/>
        </w:rPr>
      </w:pPr>
    </w:p>
    <w:p>
      <w:pPr>
        <w:keepNext w:val="0"/>
        <w:keepLines w:val="0"/>
        <w:pageBreakBefore w:val="0"/>
        <w:kinsoku/>
        <w:wordWrap/>
        <w:overflowPunct/>
        <w:topLinePunct w:val="0"/>
        <w:autoSpaceDE/>
        <w:autoSpaceDN/>
        <w:bidi w:val="0"/>
        <w:adjustRightInd/>
        <w:snapToGrid/>
        <w:spacing w:line="240" w:lineRule="atLeast"/>
        <w:ind w:left="0" w:firstLine="880" w:firstLineChars="200"/>
        <w:jc w:val="center"/>
        <w:rPr>
          <w:rFonts w:eastAsia="黑体"/>
          <w:color w:val="0C0C0C" w:themeColor="text1" w:themeTint="F2"/>
          <w:sz w:val="44"/>
          <w:szCs w:val="44"/>
        </w:rPr>
      </w:pPr>
    </w:p>
    <w:p>
      <w:pPr>
        <w:keepNext w:val="0"/>
        <w:keepLines w:val="0"/>
        <w:pageBreakBefore w:val="0"/>
        <w:kinsoku/>
        <w:wordWrap/>
        <w:overflowPunct/>
        <w:topLinePunct w:val="0"/>
        <w:autoSpaceDE/>
        <w:autoSpaceDN/>
        <w:bidi w:val="0"/>
        <w:adjustRightInd/>
        <w:snapToGrid/>
        <w:spacing w:line="240" w:lineRule="atLeast"/>
        <w:ind w:left="0" w:firstLine="880" w:firstLineChars="200"/>
        <w:jc w:val="center"/>
        <w:rPr>
          <w:rFonts w:eastAsia="黑体"/>
          <w:color w:val="0C0C0C" w:themeColor="text1" w:themeTint="F2"/>
          <w:sz w:val="44"/>
          <w:szCs w:val="44"/>
        </w:rPr>
      </w:pPr>
    </w:p>
    <w:p>
      <w:pPr>
        <w:keepNext w:val="0"/>
        <w:keepLines w:val="0"/>
        <w:pageBreakBefore w:val="0"/>
        <w:kinsoku/>
        <w:wordWrap/>
        <w:overflowPunct/>
        <w:topLinePunct w:val="0"/>
        <w:autoSpaceDE/>
        <w:autoSpaceDN/>
        <w:bidi w:val="0"/>
        <w:adjustRightInd/>
        <w:snapToGrid/>
        <w:spacing w:line="240" w:lineRule="atLeast"/>
        <w:ind w:left="0" w:firstLine="720" w:firstLineChars="200"/>
        <w:jc w:val="center"/>
        <w:rPr>
          <w:rFonts w:eastAsia="黑体"/>
          <w:color w:val="0C0C0C" w:themeColor="text1" w:themeTint="F2"/>
          <w:sz w:val="36"/>
          <w:szCs w:val="36"/>
        </w:rPr>
      </w:pPr>
      <w:r>
        <w:rPr>
          <w:rFonts w:eastAsia="黑体"/>
          <w:color w:val="0C0C0C" w:themeColor="text1" w:themeTint="F2"/>
          <w:sz w:val="36"/>
          <w:szCs w:val="36"/>
        </w:rPr>
        <w:t>单位名称（盖章）：</w:t>
      </w: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6"/>
          <w:szCs w:val="36"/>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仿宋_GB2312"/>
          <w:color w:val="0C0C0C" w:themeColor="text1" w:themeTint="F2"/>
          <w:sz w:val="32"/>
          <w:szCs w:val="32"/>
        </w:rPr>
      </w:pPr>
      <w:r>
        <w:rPr>
          <w:rFonts w:eastAsia="仿宋_GB2312"/>
          <w:color w:val="0C0C0C" w:themeColor="text1" w:themeTint="F2"/>
          <w:sz w:val="32"/>
          <w:szCs w:val="32"/>
        </w:rPr>
        <w:t>（此页为封面）</w:t>
      </w:r>
    </w:p>
    <w:p>
      <w:pPr>
        <w:keepNext w:val="0"/>
        <w:keepLines w:val="0"/>
        <w:pageBreakBefore w:val="0"/>
        <w:kinsoku/>
        <w:wordWrap/>
        <w:overflowPunct/>
        <w:topLinePunct w:val="0"/>
        <w:autoSpaceDE/>
        <w:autoSpaceDN/>
        <w:bidi w:val="0"/>
        <w:adjustRightInd/>
        <w:snapToGrid/>
        <w:spacing w:line="240" w:lineRule="atLeast"/>
        <w:ind w:left="0" w:firstLine="640" w:firstLineChars="200"/>
        <w:rPr>
          <w:rFonts w:eastAsia="黑体"/>
          <w:color w:val="0C0C0C" w:themeColor="text1" w:themeTint="F2"/>
          <w:sz w:val="30"/>
          <w:szCs w:val="30"/>
        </w:rPr>
      </w:pPr>
      <w:r>
        <w:rPr>
          <w:rFonts w:eastAsia="仿宋_GB2312"/>
          <w:color w:val="0C0C0C" w:themeColor="text1" w:themeTint="F2"/>
          <w:sz w:val="32"/>
          <w:szCs w:val="32"/>
        </w:rPr>
        <w:br w:type="page"/>
      </w:r>
      <w:r>
        <w:rPr>
          <w:rFonts w:eastAsia="黑体"/>
          <w:color w:val="0C0C0C" w:themeColor="text1" w:themeTint="F2"/>
          <w:sz w:val="30"/>
          <w:szCs w:val="30"/>
        </w:rPr>
        <w:t>一、基本情况</w:t>
      </w:r>
    </w:p>
    <w:p>
      <w:pPr>
        <w:keepNext w:val="0"/>
        <w:keepLines w:val="0"/>
        <w:pageBreakBefore w:val="0"/>
        <w:kinsoku/>
        <w:wordWrap/>
        <w:overflowPunct/>
        <w:topLinePunct w:val="0"/>
        <w:autoSpaceDE/>
        <w:autoSpaceDN/>
        <w:bidi w:val="0"/>
        <w:adjustRightInd/>
        <w:snapToGrid/>
        <w:spacing w:line="240" w:lineRule="atLeast"/>
        <w:ind w:left="0" w:firstLine="602" w:firstLineChars="200"/>
        <w:rPr>
          <w:rFonts w:eastAsia="楷体_GB2312"/>
          <w:b/>
          <w:color w:val="0C0C0C" w:themeColor="text1" w:themeTint="F2"/>
          <w:sz w:val="30"/>
          <w:szCs w:val="30"/>
        </w:rPr>
      </w:pPr>
      <w:r>
        <w:rPr>
          <w:rFonts w:eastAsia="楷体_GB2312"/>
          <w:b/>
          <w:color w:val="0C0C0C" w:themeColor="text1" w:themeTint="F2"/>
          <w:sz w:val="30"/>
          <w:szCs w:val="30"/>
        </w:rPr>
        <w:t>（一）单位基本情况</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ascii="仿宋" w:hAnsi="仿宋" w:eastAsia="仿宋" w:cs="仿宋"/>
          <w:b w:val="0"/>
          <w:bCs/>
          <w:color w:val="0C0C0C" w:themeColor="text1" w:themeTint="F2"/>
          <w:sz w:val="30"/>
          <w:szCs w:val="30"/>
        </w:rPr>
      </w:pPr>
      <w:r>
        <w:rPr>
          <w:rFonts w:hint="eastAsia" w:ascii="仿宋" w:hAnsi="仿宋" w:eastAsia="仿宋" w:cs="仿宋"/>
          <w:b w:val="0"/>
          <w:bCs/>
          <w:color w:val="0C0C0C" w:themeColor="text1" w:themeTint="F2"/>
          <w:sz w:val="30"/>
          <w:szCs w:val="30"/>
        </w:rPr>
        <w:t>1、单位机构组成、人员概况</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ascii="仿宋" w:hAnsi="仿宋" w:eastAsia="仿宋" w:cs="仿宋"/>
          <w:b w:val="0"/>
          <w:bCs/>
          <w:color w:val="0C0C0C" w:themeColor="text1" w:themeTint="F2"/>
          <w:sz w:val="30"/>
          <w:szCs w:val="30"/>
        </w:rPr>
      </w:pPr>
      <w:r>
        <w:rPr>
          <w:rFonts w:hint="eastAsia" w:ascii="仿宋" w:hAnsi="仿宋" w:eastAsia="仿宋" w:cs="仿宋"/>
          <w:b w:val="0"/>
          <w:bCs/>
          <w:color w:val="0C0C0C" w:themeColor="text1" w:themeTint="F2"/>
          <w:sz w:val="30"/>
          <w:szCs w:val="30"/>
        </w:rPr>
        <w:t>江永县上江圩镇中心幼儿园是为3至6岁儿童提供保育教育的服务的机构。为了保证幼儿园的正常运行和管理，园内设有园长室，园长室是幼儿园的决策和管理核心，负责制定幼儿园的发展战略、管理政策以及教育教学计划。园长办公室由园长和相关助理组成;行政部，行政部是幼儿园的执行机构，负责各项行政事务的管理和协调。行政部门包括人事行政、财务、后勤等职能部门，每一个部门都有相应的主管和职员。现有全体职工22人，其中在职老师10人，临聘老师8人，厨师2人，保安2人。</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仿宋" w:hAnsi="仿宋" w:eastAsia="仿宋" w:cs="仿宋"/>
          <w:b w:val="0"/>
          <w:bCs/>
          <w:color w:val="0C0C0C" w:themeColor="text1" w:themeTint="F2"/>
          <w:sz w:val="30"/>
          <w:szCs w:val="30"/>
        </w:rPr>
      </w:pPr>
      <w:r>
        <w:rPr>
          <w:rFonts w:hint="eastAsia" w:ascii="仿宋" w:hAnsi="仿宋" w:eastAsia="仿宋" w:cs="仿宋"/>
          <w:b w:val="0"/>
          <w:bCs/>
          <w:color w:val="0C0C0C" w:themeColor="text1" w:themeTint="F2"/>
          <w:sz w:val="30"/>
          <w:szCs w:val="30"/>
        </w:rPr>
        <w:t>2、机构职能</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仿宋" w:hAnsi="仿宋" w:eastAsia="仿宋" w:cs="仿宋"/>
          <w:b w:val="0"/>
          <w:bCs/>
          <w:color w:val="0C0C0C" w:themeColor="text1" w:themeTint="F2"/>
          <w:sz w:val="30"/>
          <w:szCs w:val="30"/>
          <w:lang w:eastAsia="zh-CN"/>
        </w:rPr>
      </w:pPr>
      <w:r>
        <w:rPr>
          <w:rFonts w:hint="eastAsia" w:ascii="仿宋" w:hAnsi="仿宋" w:eastAsia="仿宋" w:cs="仿宋"/>
          <w:b w:val="0"/>
          <w:bCs/>
          <w:color w:val="0C0C0C" w:themeColor="text1" w:themeTint="F2"/>
          <w:sz w:val="30"/>
          <w:szCs w:val="30"/>
        </w:rPr>
        <w:t>幼儿园秉承“用太阳的光辉照亮孩子的心房”的办园理念，以“爱的成长，心的教育”为办园思想，以“一切为了孩子”为目标，以“满园蓓蕾，个个芬芳”为园训，让幼儿在愉快的游戏活动中“学会生活，学会学习，学会做人”</w:t>
      </w:r>
      <w:r>
        <w:rPr>
          <w:rFonts w:hint="eastAsia" w:ascii="仿宋" w:hAnsi="仿宋" w:eastAsia="仿宋" w:cs="仿宋"/>
          <w:b w:val="0"/>
          <w:bCs/>
          <w:color w:val="0C0C0C" w:themeColor="text1" w:themeTint="F2"/>
          <w:sz w:val="30"/>
          <w:szCs w:val="30"/>
          <w:lang w:eastAsia="zh-CN"/>
        </w:rPr>
        <w:t>。</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color w:val="0C0C0C" w:themeColor="text1" w:themeTint="F2"/>
          <w:sz w:val="30"/>
          <w:szCs w:val="30"/>
        </w:rPr>
      </w:pPr>
      <w:r>
        <w:rPr>
          <w:rFonts w:ascii="Times New Roman" w:hAnsi="Times New Roman" w:eastAsia="黑体"/>
          <w:color w:val="0C0C0C" w:themeColor="text1" w:themeTint="F2"/>
          <w:sz w:val="30"/>
          <w:szCs w:val="30"/>
        </w:rPr>
        <w:t>二、</w:t>
      </w:r>
      <w:r>
        <w:rPr>
          <w:rFonts w:hint="eastAsia" w:ascii="Times New Roman" w:hAnsi="Times New Roman" w:eastAsia="黑体"/>
          <w:color w:val="0C0C0C" w:themeColor="text1" w:themeTint="F2"/>
          <w:sz w:val="30"/>
          <w:szCs w:val="30"/>
          <w:lang w:val="en-US" w:eastAsia="zh-CN"/>
        </w:rPr>
        <w:t>2023年度</w:t>
      </w:r>
      <w:r>
        <w:rPr>
          <w:rFonts w:ascii="Times New Roman" w:hAnsi="Times New Roman" w:eastAsia="黑体"/>
          <w:color w:val="0C0C0C" w:themeColor="text1" w:themeTint="F2"/>
          <w:sz w:val="30"/>
          <w:szCs w:val="30"/>
        </w:rPr>
        <w:t>一般公共预算支出情况</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ascii="Times New Roman" w:hAnsi="Times New Roman" w:eastAsia="楷体_GB2312"/>
          <w:b/>
          <w:color w:val="0C0C0C" w:themeColor="text1" w:themeTint="F2"/>
          <w:sz w:val="30"/>
          <w:szCs w:val="30"/>
        </w:rPr>
      </w:pPr>
      <w:r>
        <w:rPr>
          <w:rFonts w:ascii="Times New Roman" w:hAnsi="Times New Roman" w:eastAsia="楷体_GB2312"/>
          <w:b/>
          <w:color w:val="0C0C0C" w:themeColor="text1" w:themeTint="F2"/>
          <w:sz w:val="30"/>
          <w:szCs w:val="30"/>
        </w:rPr>
        <w:t>（一）基本支出情况</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hint="eastAsia" w:ascii="仿宋" w:hAnsi="仿宋" w:eastAsia="仿宋" w:cs="仿宋"/>
          <w:b w:val="0"/>
          <w:bCs/>
          <w:color w:val="0C0C0C" w:themeColor="text1" w:themeTint="F2"/>
          <w:sz w:val="30"/>
          <w:szCs w:val="30"/>
        </w:rPr>
      </w:pPr>
      <w:r>
        <w:rPr>
          <w:rFonts w:hint="eastAsia" w:ascii="仿宋" w:hAnsi="仿宋" w:eastAsia="仿宋" w:cs="仿宋"/>
          <w:b w:val="0"/>
          <w:bCs/>
          <w:color w:val="0C0C0C" w:themeColor="text1" w:themeTint="F2"/>
          <w:sz w:val="30"/>
          <w:szCs w:val="30"/>
          <w:lang w:val="en-US" w:eastAsia="zh-CN"/>
        </w:rPr>
        <w:t>1、</w:t>
      </w:r>
      <w:r>
        <w:rPr>
          <w:rFonts w:hint="eastAsia" w:ascii="仿宋" w:hAnsi="仿宋" w:eastAsia="仿宋" w:cs="仿宋"/>
          <w:b w:val="0"/>
          <w:bCs/>
          <w:color w:val="0C0C0C" w:themeColor="text1" w:themeTint="F2"/>
          <w:sz w:val="30"/>
          <w:szCs w:val="30"/>
        </w:rPr>
        <w:t>预算情况</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lang w:val="en-US" w:eastAsia="zh-CN"/>
        </w:rPr>
        <w:t>1）</w:t>
      </w:r>
      <w:r>
        <w:rPr>
          <w:rFonts w:hint="eastAsia" w:ascii="仿宋" w:hAnsi="仿宋" w:eastAsia="仿宋" w:cs="仿宋"/>
          <w:b w:val="0"/>
          <w:bCs/>
          <w:color w:val="0C0C0C" w:themeColor="text1" w:themeTint="F2"/>
          <w:sz w:val="30"/>
          <w:szCs w:val="30"/>
        </w:rPr>
        <w:t>年初预算情况：年初预算收入</w:t>
      </w:r>
      <w:r>
        <w:rPr>
          <w:rFonts w:hint="eastAsia" w:ascii="仿宋" w:hAnsi="仿宋" w:eastAsia="仿宋" w:cs="仿宋"/>
          <w:b w:val="0"/>
          <w:bCs/>
          <w:color w:val="0C0C0C" w:themeColor="text1" w:themeTint="F2"/>
          <w:sz w:val="30"/>
          <w:szCs w:val="30"/>
          <w:lang w:val="en-US" w:eastAsia="zh-CN"/>
        </w:rPr>
        <w:t>122.34</w:t>
      </w:r>
      <w:r>
        <w:rPr>
          <w:rFonts w:hint="eastAsia" w:ascii="仿宋" w:hAnsi="仿宋" w:eastAsia="仿宋" w:cs="仿宋"/>
          <w:b w:val="0"/>
          <w:bCs/>
          <w:color w:val="0C0C0C" w:themeColor="text1" w:themeTint="F2"/>
          <w:sz w:val="30"/>
          <w:szCs w:val="30"/>
        </w:rPr>
        <w:t>万元，其中预算内拨款</w:t>
      </w:r>
      <w:r>
        <w:rPr>
          <w:rFonts w:hint="eastAsia" w:ascii="仿宋" w:hAnsi="仿宋" w:eastAsia="仿宋" w:cs="仿宋"/>
          <w:b w:val="0"/>
          <w:bCs/>
          <w:color w:val="0C0C0C" w:themeColor="text1" w:themeTint="F2"/>
          <w:sz w:val="30"/>
          <w:szCs w:val="30"/>
          <w:lang w:val="en-US" w:eastAsia="zh-CN"/>
        </w:rPr>
        <w:t>122.34</w:t>
      </w:r>
      <w:r>
        <w:rPr>
          <w:rFonts w:hint="eastAsia" w:ascii="仿宋" w:hAnsi="仿宋" w:eastAsia="仿宋" w:cs="仿宋"/>
          <w:b w:val="0"/>
          <w:bCs/>
          <w:color w:val="0C0C0C" w:themeColor="text1" w:themeTint="F2"/>
          <w:sz w:val="30"/>
          <w:szCs w:val="30"/>
        </w:rPr>
        <w:t>万元，其他拨款0万元。</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2</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年中追加和调减预算情况：202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年年中追加金额</w:t>
      </w:r>
      <w:r>
        <w:rPr>
          <w:rFonts w:hint="eastAsia" w:ascii="仿宋" w:hAnsi="仿宋" w:eastAsia="仿宋" w:cs="仿宋"/>
          <w:b w:val="0"/>
          <w:bCs/>
          <w:color w:val="0C0C0C" w:themeColor="text1" w:themeTint="F2"/>
          <w:sz w:val="30"/>
          <w:szCs w:val="30"/>
          <w:lang w:val="en-US" w:eastAsia="zh-CN"/>
        </w:rPr>
        <w:t>0</w:t>
      </w:r>
      <w:r>
        <w:rPr>
          <w:rFonts w:hint="eastAsia" w:ascii="仿宋" w:hAnsi="仿宋" w:eastAsia="仿宋" w:cs="仿宋"/>
          <w:b w:val="0"/>
          <w:bCs/>
          <w:color w:val="0C0C0C" w:themeColor="text1" w:themeTint="F2"/>
          <w:sz w:val="30"/>
          <w:szCs w:val="30"/>
        </w:rPr>
        <w:t>万元，财政收回金额0万元。</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3</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全年总预算情况：①202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年实际收入</w:t>
      </w:r>
      <w:r>
        <w:rPr>
          <w:rFonts w:hint="eastAsia" w:ascii="仿宋" w:hAnsi="仿宋" w:eastAsia="仿宋" w:cs="仿宋"/>
          <w:b w:val="0"/>
          <w:bCs/>
          <w:color w:val="0C0C0C" w:themeColor="text1" w:themeTint="F2"/>
          <w:sz w:val="30"/>
          <w:szCs w:val="30"/>
          <w:lang w:val="en-US" w:eastAsia="zh-CN"/>
        </w:rPr>
        <w:t>122.34</w:t>
      </w:r>
      <w:r>
        <w:rPr>
          <w:rFonts w:hint="eastAsia" w:ascii="仿宋" w:hAnsi="仿宋" w:eastAsia="仿宋" w:cs="仿宋"/>
          <w:b w:val="0"/>
          <w:bCs/>
          <w:color w:val="0C0C0C" w:themeColor="text1" w:themeTint="F2"/>
          <w:sz w:val="30"/>
          <w:szCs w:val="30"/>
        </w:rPr>
        <w:t>万元（其中财政收入</w:t>
      </w:r>
      <w:r>
        <w:rPr>
          <w:rFonts w:hint="eastAsia" w:ascii="仿宋" w:hAnsi="仿宋" w:eastAsia="仿宋" w:cs="仿宋"/>
          <w:b w:val="0"/>
          <w:bCs/>
          <w:color w:val="0C0C0C" w:themeColor="text1" w:themeTint="F2"/>
          <w:sz w:val="30"/>
          <w:szCs w:val="30"/>
          <w:lang w:val="en-US" w:eastAsia="zh-CN"/>
        </w:rPr>
        <w:t>122.34</w:t>
      </w:r>
      <w:r>
        <w:rPr>
          <w:rFonts w:hint="eastAsia" w:ascii="仿宋" w:hAnsi="仿宋" w:eastAsia="仿宋" w:cs="仿宋"/>
          <w:b w:val="0"/>
          <w:bCs/>
          <w:color w:val="0C0C0C" w:themeColor="text1" w:themeTint="F2"/>
          <w:sz w:val="30"/>
          <w:szCs w:val="30"/>
        </w:rPr>
        <w:t>万元，其他收入</w:t>
      </w:r>
      <w:r>
        <w:rPr>
          <w:rFonts w:hint="eastAsia" w:ascii="仿宋" w:hAnsi="仿宋" w:eastAsia="仿宋" w:cs="仿宋"/>
          <w:b w:val="0"/>
          <w:bCs/>
          <w:color w:val="0C0C0C" w:themeColor="text1" w:themeTint="F2"/>
          <w:sz w:val="30"/>
          <w:szCs w:val="30"/>
          <w:lang w:val="en-US" w:eastAsia="zh-CN"/>
        </w:rPr>
        <w:t>0</w:t>
      </w:r>
      <w:r>
        <w:rPr>
          <w:rFonts w:hint="eastAsia" w:ascii="仿宋" w:hAnsi="仿宋" w:eastAsia="仿宋" w:cs="仿宋"/>
          <w:b w:val="0"/>
          <w:bCs/>
          <w:color w:val="0C0C0C" w:themeColor="text1" w:themeTint="F2"/>
          <w:sz w:val="30"/>
          <w:szCs w:val="30"/>
        </w:rPr>
        <w:t>万元）。202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年度部门实际财政支出</w:t>
      </w:r>
      <w:r>
        <w:rPr>
          <w:rFonts w:hint="eastAsia" w:ascii="仿宋" w:hAnsi="仿宋" w:eastAsia="仿宋" w:cs="仿宋"/>
          <w:b w:val="0"/>
          <w:bCs/>
          <w:color w:val="0C0C0C" w:themeColor="text1" w:themeTint="F2"/>
          <w:sz w:val="30"/>
          <w:szCs w:val="30"/>
          <w:lang w:val="en-US" w:eastAsia="zh-CN"/>
        </w:rPr>
        <w:t>122.34</w:t>
      </w:r>
      <w:r>
        <w:rPr>
          <w:rFonts w:hint="eastAsia" w:ascii="仿宋" w:hAnsi="仿宋" w:eastAsia="仿宋" w:cs="仿宋"/>
          <w:b w:val="0"/>
          <w:bCs/>
          <w:color w:val="0C0C0C" w:themeColor="text1" w:themeTint="F2"/>
          <w:sz w:val="30"/>
          <w:szCs w:val="30"/>
        </w:rPr>
        <w:t>万元。②预算调整率为0%。③202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年结余资金0万元，低于上年结转资金0万元。④三公经费控制率为0%。“三公”经费实际支出</w:t>
      </w:r>
      <w:r>
        <w:rPr>
          <w:rFonts w:hint="eastAsia" w:ascii="仿宋" w:hAnsi="仿宋" w:eastAsia="仿宋" w:cs="仿宋"/>
          <w:b w:val="0"/>
          <w:bCs/>
          <w:color w:val="0C0C0C" w:themeColor="text1" w:themeTint="F2"/>
          <w:sz w:val="30"/>
          <w:szCs w:val="30"/>
          <w:lang w:val="en-US" w:eastAsia="zh-CN"/>
        </w:rPr>
        <w:t>1.3</w:t>
      </w:r>
      <w:r>
        <w:rPr>
          <w:rFonts w:hint="eastAsia" w:ascii="仿宋" w:hAnsi="仿宋" w:eastAsia="仿宋" w:cs="仿宋"/>
          <w:b w:val="0"/>
          <w:bCs/>
          <w:color w:val="0C0C0C" w:themeColor="text1" w:themeTint="F2"/>
          <w:sz w:val="30"/>
          <w:szCs w:val="30"/>
        </w:rPr>
        <w:t>万元。</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hint="eastAsia" w:ascii="仿宋" w:hAnsi="仿宋" w:eastAsia="仿宋" w:cs="仿宋"/>
          <w:b w:val="0"/>
          <w:bCs/>
          <w:color w:val="0C0C0C" w:themeColor="text1" w:themeTint="F2"/>
          <w:sz w:val="30"/>
          <w:szCs w:val="30"/>
        </w:rPr>
      </w:pPr>
      <w:r>
        <w:rPr>
          <w:rFonts w:hint="eastAsia" w:ascii="仿宋" w:hAnsi="仿宋" w:eastAsia="仿宋" w:cs="仿宋"/>
          <w:b w:val="0"/>
          <w:bCs/>
          <w:color w:val="0C0C0C" w:themeColor="text1" w:themeTint="F2"/>
          <w:sz w:val="30"/>
          <w:szCs w:val="30"/>
          <w:lang w:val="en-US" w:eastAsia="zh-CN"/>
        </w:rPr>
        <w:t>2、</w:t>
      </w:r>
      <w:r>
        <w:rPr>
          <w:rFonts w:hint="eastAsia" w:ascii="仿宋" w:hAnsi="仿宋" w:eastAsia="仿宋" w:cs="仿宋"/>
          <w:b w:val="0"/>
          <w:bCs/>
          <w:color w:val="0C0C0C" w:themeColor="text1" w:themeTint="F2"/>
          <w:sz w:val="30"/>
          <w:szCs w:val="30"/>
        </w:rPr>
        <w:t>预算执行情况</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1</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基本支出执行情况：202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年度基本支出</w:t>
      </w:r>
      <w:r>
        <w:rPr>
          <w:rFonts w:hint="eastAsia" w:ascii="仿宋" w:hAnsi="仿宋" w:eastAsia="仿宋" w:cs="仿宋"/>
          <w:b w:val="0"/>
          <w:bCs/>
          <w:color w:val="0C0C0C" w:themeColor="text1" w:themeTint="F2"/>
          <w:sz w:val="30"/>
          <w:szCs w:val="30"/>
          <w:lang w:val="en-US" w:eastAsia="zh-CN"/>
        </w:rPr>
        <w:t>95.22</w:t>
      </w:r>
      <w:r>
        <w:rPr>
          <w:rFonts w:hint="eastAsia" w:ascii="仿宋" w:hAnsi="仿宋" w:eastAsia="仿宋" w:cs="仿宋"/>
          <w:b w:val="0"/>
          <w:bCs/>
          <w:color w:val="0C0C0C" w:themeColor="text1" w:themeTint="F2"/>
          <w:sz w:val="30"/>
          <w:szCs w:val="30"/>
        </w:rPr>
        <w:t>万元。</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2</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业务性专项执行情况：202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年度无业务性专项。</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3</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项目性专项执行情况：202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年度项目支出</w:t>
      </w:r>
      <w:r>
        <w:rPr>
          <w:rFonts w:hint="eastAsia" w:ascii="仿宋" w:hAnsi="仿宋" w:eastAsia="仿宋" w:cs="仿宋"/>
          <w:b w:val="0"/>
          <w:bCs/>
          <w:color w:val="0C0C0C" w:themeColor="text1" w:themeTint="F2"/>
          <w:sz w:val="30"/>
          <w:szCs w:val="30"/>
          <w:lang w:val="en-US" w:eastAsia="zh-CN"/>
        </w:rPr>
        <w:t>27.12</w:t>
      </w:r>
      <w:r>
        <w:rPr>
          <w:rFonts w:hint="eastAsia" w:ascii="仿宋" w:hAnsi="仿宋" w:eastAsia="仿宋" w:cs="仿宋"/>
          <w:b w:val="0"/>
          <w:bCs/>
          <w:color w:val="0C0C0C" w:themeColor="text1" w:themeTint="F2"/>
          <w:sz w:val="30"/>
          <w:szCs w:val="30"/>
        </w:rPr>
        <w:t>万元。</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ascii="Times New Roman" w:hAnsi="Times New Roman" w:eastAsia="楷体_GB2312"/>
          <w:b/>
          <w:color w:val="0C0C0C" w:themeColor="text1" w:themeTint="F2"/>
          <w:sz w:val="30"/>
          <w:szCs w:val="30"/>
        </w:rPr>
      </w:pPr>
      <w:r>
        <w:rPr>
          <w:rFonts w:ascii="Times New Roman" w:hAnsi="Times New Roman" w:eastAsia="楷体_GB2312"/>
          <w:b/>
          <w:color w:val="0C0C0C" w:themeColor="text1" w:themeTint="F2"/>
          <w:sz w:val="30"/>
          <w:szCs w:val="30"/>
        </w:rPr>
        <w:t>（二）项目支出情况</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0C0C0C" w:themeColor="text1" w:themeTint="F2"/>
          <w:sz w:val="30"/>
          <w:szCs w:val="30"/>
        </w:rPr>
      </w:pPr>
      <w:r>
        <w:rPr>
          <w:rFonts w:eastAsia="仿宋_GB2312"/>
          <w:color w:val="0C0C0C" w:themeColor="text1" w:themeTint="F2"/>
          <w:sz w:val="30"/>
          <w:szCs w:val="30"/>
        </w:rPr>
        <w:t>两方面：一是</w:t>
      </w:r>
      <w:r>
        <w:rPr>
          <w:rFonts w:hint="eastAsia" w:eastAsia="仿宋_GB2312"/>
          <w:color w:val="0C0C0C" w:themeColor="text1" w:themeTint="F2"/>
          <w:sz w:val="30"/>
          <w:szCs w:val="30"/>
          <w:lang w:val="en-US" w:eastAsia="zh-CN"/>
        </w:rPr>
        <w:t>2023</w:t>
      </w:r>
      <w:r>
        <w:rPr>
          <w:rFonts w:eastAsia="仿宋_GB2312"/>
          <w:color w:val="0C0C0C" w:themeColor="text1" w:themeTint="F2"/>
          <w:sz w:val="30"/>
          <w:szCs w:val="30"/>
        </w:rPr>
        <w:t>年度</w:t>
      </w:r>
      <w:r>
        <w:rPr>
          <w:rFonts w:hint="eastAsia" w:eastAsia="仿宋_GB2312"/>
          <w:color w:val="0C0C0C" w:themeColor="text1" w:themeTint="F2"/>
          <w:sz w:val="30"/>
          <w:szCs w:val="30"/>
          <w:lang w:eastAsia="zh-CN"/>
        </w:rPr>
        <w:t>县</w:t>
      </w:r>
      <w:r>
        <w:rPr>
          <w:rFonts w:eastAsia="仿宋_GB2312"/>
          <w:color w:val="0C0C0C" w:themeColor="text1" w:themeTint="F2"/>
          <w:sz w:val="30"/>
          <w:szCs w:val="30"/>
        </w:rPr>
        <w:t>级专项资金分配安排和使用管理情况，有2个及以上</w:t>
      </w:r>
      <w:r>
        <w:rPr>
          <w:rFonts w:hint="eastAsia" w:eastAsia="仿宋_GB2312"/>
          <w:color w:val="0C0C0C" w:themeColor="text1" w:themeTint="F2"/>
          <w:sz w:val="30"/>
          <w:szCs w:val="30"/>
          <w:lang w:eastAsia="zh-CN"/>
        </w:rPr>
        <w:t>县</w:t>
      </w:r>
      <w:r>
        <w:rPr>
          <w:rFonts w:eastAsia="仿宋_GB2312"/>
          <w:color w:val="0C0C0C" w:themeColor="text1" w:themeTint="F2"/>
          <w:sz w:val="30"/>
          <w:szCs w:val="30"/>
        </w:rPr>
        <w:t>级专项资金的要分别总结基本情况。二是除</w:t>
      </w:r>
      <w:r>
        <w:rPr>
          <w:rFonts w:hint="eastAsia" w:eastAsia="仿宋_GB2312"/>
          <w:color w:val="0C0C0C" w:themeColor="text1" w:themeTint="F2"/>
          <w:sz w:val="30"/>
          <w:szCs w:val="30"/>
          <w:lang w:eastAsia="zh-CN"/>
        </w:rPr>
        <w:t>县</w:t>
      </w:r>
      <w:r>
        <w:rPr>
          <w:rFonts w:eastAsia="仿宋_GB2312"/>
          <w:color w:val="0C0C0C" w:themeColor="text1" w:themeTint="F2"/>
          <w:sz w:val="30"/>
          <w:szCs w:val="30"/>
        </w:rPr>
        <w:t>级专项资金以外的其他项目支出情况。</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color w:val="0C0C0C" w:themeColor="text1" w:themeTint="F2"/>
          <w:sz w:val="30"/>
          <w:szCs w:val="30"/>
        </w:rPr>
      </w:pPr>
      <w:r>
        <w:rPr>
          <w:rFonts w:ascii="Times New Roman" w:hAnsi="Times New Roman" w:eastAsia="黑体"/>
          <w:color w:val="0C0C0C" w:themeColor="text1" w:themeTint="F2"/>
          <w:sz w:val="30"/>
          <w:szCs w:val="30"/>
        </w:rPr>
        <w:t>三、政府性基金预算支出情况</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color w:val="0C0C0C" w:themeColor="text1" w:themeTint="F2"/>
          <w:sz w:val="30"/>
          <w:szCs w:val="30"/>
        </w:rPr>
      </w:pPr>
      <w:r>
        <w:rPr>
          <w:rFonts w:ascii="Times New Roman" w:hAnsi="Times New Roman" w:eastAsia="黑体"/>
          <w:color w:val="0C0C0C" w:themeColor="text1" w:themeTint="F2"/>
          <w:sz w:val="30"/>
          <w:szCs w:val="30"/>
        </w:rPr>
        <w:t>四、国有资本经营预算支出情况</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color w:val="0C0C0C" w:themeColor="text1" w:themeTint="F2"/>
          <w:sz w:val="30"/>
          <w:szCs w:val="30"/>
        </w:rPr>
      </w:pPr>
      <w:r>
        <w:rPr>
          <w:rFonts w:ascii="Times New Roman" w:hAnsi="Times New Roman" w:eastAsia="黑体"/>
          <w:color w:val="0C0C0C" w:themeColor="text1" w:themeTint="F2"/>
          <w:sz w:val="30"/>
          <w:szCs w:val="30"/>
        </w:rPr>
        <w:t>五、社会保险基金预算支出情况</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hint="default" w:ascii="仿宋" w:hAnsi="仿宋" w:eastAsia="仿宋" w:cs="仿宋"/>
          <w:b w:val="0"/>
          <w:bCs/>
          <w:color w:val="0C0C0C" w:themeColor="text1" w:themeTint="F2"/>
          <w:sz w:val="30"/>
          <w:szCs w:val="30"/>
          <w:lang w:val="en-US" w:eastAsia="zh-CN"/>
        </w:rPr>
      </w:pPr>
      <w:r>
        <w:rPr>
          <w:rFonts w:hint="eastAsia" w:ascii="仿宋" w:hAnsi="仿宋" w:eastAsia="仿宋" w:cs="仿宋"/>
          <w:b w:val="0"/>
          <w:bCs/>
          <w:color w:val="0C0C0C" w:themeColor="text1" w:themeTint="F2"/>
          <w:sz w:val="30"/>
          <w:szCs w:val="30"/>
          <w:lang w:val="en-US" w:eastAsia="zh-CN"/>
        </w:rPr>
        <w:t>预算执行情况：2023年预算基本支出11.43万元，其中机关事业单位基本养老保险费7.48万元，职工基本医疗保险费3.84万，其他社会保障费0.11万元。</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color w:val="0C0C0C" w:themeColor="text1" w:themeTint="F2"/>
          <w:sz w:val="30"/>
          <w:szCs w:val="30"/>
        </w:rPr>
      </w:pPr>
      <w:r>
        <w:rPr>
          <w:rFonts w:eastAsia="黑体"/>
          <w:color w:val="0C0C0C" w:themeColor="text1" w:themeTint="F2"/>
          <w:sz w:val="30"/>
          <w:szCs w:val="30"/>
        </w:rPr>
        <w:t>六、部门整体支出绩效情况</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FF0000"/>
          <w:sz w:val="30"/>
          <w:szCs w:val="30"/>
        </w:rPr>
      </w:pPr>
      <w:r>
        <w:rPr>
          <w:rFonts w:eastAsia="仿宋_GB2312"/>
          <w:color w:val="0C0C0C" w:themeColor="text1" w:themeTint="F2"/>
          <w:sz w:val="30"/>
          <w:szCs w:val="30"/>
        </w:rPr>
        <w:t>总结归纳本部门“四本预算”支出的绩效目标完成情况，实现产出和取得效益的情况。围绕部门职责、行业发展规划，以预算资金管理为主线，总结部门资产管理和开展业务情况，从运行成本、管理效率、履职效能、社会效应、可持续发展能力和服务对象满意度等方面，衡量部门整体及核心业务实施效果。</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0C0C0C" w:themeColor="text1" w:themeTint="F2"/>
          <w:sz w:val="30"/>
          <w:szCs w:val="30"/>
        </w:rPr>
      </w:pPr>
      <w:r>
        <w:rPr>
          <w:rFonts w:hint="eastAsia" w:eastAsia="仿宋_GB2312"/>
          <w:color w:val="0C0C0C" w:themeColor="text1" w:themeTint="F2"/>
          <w:sz w:val="30"/>
          <w:szCs w:val="30"/>
        </w:rPr>
        <w:t>绩效目标完成率为100%，实际完成率100%。从履职及履职效益情况来看，总体效果比较好。从经济性来看，各负责部门能够按照预算来抓好成本控制，强化勤俭办事的意识，注重节约开支，年度开支控制在财政局规定的范围内</w:t>
      </w:r>
      <w:r>
        <w:rPr>
          <w:rFonts w:hint="eastAsia" w:eastAsia="仿宋_GB2312"/>
          <w:color w:val="0C0C0C" w:themeColor="text1" w:themeTint="F2"/>
          <w:sz w:val="30"/>
          <w:szCs w:val="30"/>
          <w:lang w:eastAsia="zh-CN"/>
        </w:rPr>
        <w:t>；</w:t>
      </w:r>
      <w:r>
        <w:rPr>
          <w:rFonts w:hint="eastAsia" w:eastAsia="仿宋_GB2312"/>
          <w:color w:val="0C0C0C" w:themeColor="text1" w:themeTint="F2"/>
          <w:sz w:val="30"/>
          <w:szCs w:val="30"/>
        </w:rPr>
        <w:t>从效率性来看，各部门对所承担的工作能够按照计划的时间把握进度，抓好质量，注重了工作的效率</w:t>
      </w:r>
      <w:r>
        <w:rPr>
          <w:rFonts w:hint="eastAsia" w:eastAsia="仿宋_GB2312"/>
          <w:color w:val="0C0C0C" w:themeColor="text1" w:themeTint="F2"/>
          <w:sz w:val="30"/>
          <w:szCs w:val="30"/>
          <w:lang w:eastAsia="zh-CN"/>
        </w:rPr>
        <w:t>；</w:t>
      </w:r>
      <w:r>
        <w:rPr>
          <w:rFonts w:hint="eastAsia" w:eastAsia="仿宋_GB2312"/>
          <w:color w:val="0C0C0C" w:themeColor="text1" w:themeTint="F2"/>
          <w:sz w:val="30"/>
          <w:szCs w:val="30"/>
        </w:rPr>
        <w:t>从有效性来看，各专项工作的分工负责部门均能够按照制度和各自的目标来抓好落实，注重了专项资金的使用效果</w:t>
      </w:r>
      <w:r>
        <w:rPr>
          <w:rFonts w:hint="eastAsia" w:eastAsia="仿宋_GB2312"/>
          <w:color w:val="0C0C0C" w:themeColor="text1" w:themeTint="F2"/>
          <w:sz w:val="30"/>
          <w:szCs w:val="30"/>
          <w:lang w:eastAsia="zh-CN"/>
        </w:rPr>
        <w:t>；</w:t>
      </w:r>
      <w:r>
        <w:rPr>
          <w:rFonts w:hint="eastAsia" w:eastAsia="仿宋_GB2312"/>
          <w:color w:val="0C0C0C" w:themeColor="text1" w:themeTint="F2"/>
          <w:sz w:val="30"/>
          <w:szCs w:val="30"/>
        </w:rPr>
        <w:t>从可持续性来看，后续的政策、相关的配套资金、必要的人员机构要继续保持，管理制度做到与时俱进，相关内容进行了及时补充完善。</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color w:val="0C0C0C" w:themeColor="text1" w:themeTint="F2"/>
          <w:sz w:val="30"/>
          <w:szCs w:val="30"/>
        </w:rPr>
      </w:pPr>
      <w:r>
        <w:rPr>
          <w:rFonts w:ascii="Times New Roman" w:hAnsi="Times New Roman" w:eastAsia="黑体"/>
          <w:color w:val="0C0C0C" w:themeColor="text1" w:themeTint="F2"/>
          <w:sz w:val="30"/>
          <w:szCs w:val="30"/>
        </w:rPr>
        <w:t>七、存在的问题及原因分析</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eastAsia="仿宋_GB2312"/>
          <w:color w:val="0C0C0C" w:themeColor="text1" w:themeTint="F2"/>
          <w:sz w:val="30"/>
          <w:szCs w:val="30"/>
        </w:rPr>
      </w:pPr>
      <w:r>
        <w:rPr>
          <w:rFonts w:eastAsia="仿宋_GB2312"/>
          <w:color w:val="0C0C0C" w:themeColor="text1" w:themeTint="F2"/>
          <w:sz w:val="30"/>
          <w:szCs w:val="30"/>
        </w:rPr>
        <w:t>主要反映各种预算支出执行偏离绩效目标的情况，并分析其原因</w:t>
      </w:r>
      <w:r>
        <w:rPr>
          <w:rFonts w:hint="eastAsia" w:eastAsia="仿宋_GB2312"/>
          <w:color w:val="0C0C0C" w:themeColor="text1" w:themeTint="F2"/>
          <w:sz w:val="30"/>
          <w:szCs w:val="30"/>
        </w:rPr>
        <w:t>。</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0C0C0C" w:themeColor="text1" w:themeTint="F2"/>
          <w:sz w:val="30"/>
          <w:szCs w:val="30"/>
        </w:rPr>
      </w:pPr>
      <w:r>
        <w:rPr>
          <w:rFonts w:hint="eastAsia" w:eastAsia="仿宋_GB2312"/>
          <w:color w:val="0C0C0C" w:themeColor="text1" w:themeTint="F2"/>
          <w:sz w:val="30"/>
          <w:szCs w:val="30"/>
        </w:rPr>
        <w:t>年初预算绩效目标不明确，绩效指标细化和量化不精准。</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color w:val="0C0C0C" w:themeColor="text1" w:themeTint="F2"/>
          <w:sz w:val="30"/>
          <w:szCs w:val="30"/>
        </w:rPr>
      </w:pPr>
      <w:r>
        <w:rPr>
          <w:rFonts w:eastAsia="黑体"/>
          <w:color w:val="0C0C0C" w:themeColor="text1" w:themeTint="F2"/>
          <w:sz w:val="30"/>
          <w:szCs w:val="30"/>
        </w:rPr>
        <w:t>八、下一</w:t>
      </w:r>
      <w:r>
        <w:rPr>
          <w:rFonts w:eastAsia="黑体"/>
          <w:b w:val="0"/>
          <w:bCs w:val="0"/>
          <w:color w:val="0C0C0C" w:themeColor="text1" w:themeTint="F2"/>
          <w:sz w:val="30"/>
          <w:szCs w:val="30"/>
        </w:rPr>
        <w:t>步改进</w:t>
      </w:r>
      <w:r>
        <w:rPr>
          <w:rFonts w:eastAsia="黑体"/>
          <w:color w:val="0C0C0C" w:themeColor="text1" w:themeTint="F2"/>
          <w:sz w:val="30"/>
          <w:szCs w:val="30"/>
        </w:rPr>
        <w:t>措施</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0C0C0C" w:themeColor="text1" w:themeTint="F2"/>
          <w:sz w:val="30"/>
          <w:szCs w:val="30"/>
        </w:rPr>
      </w:pPr>
      <w:r>
        <w:rPr>
          <w:rFonts w:hint="eastAsia" w:eastAsia="仿宋_GB2312"/>
          <w:color w:val="0C0C0C" w:themeColor="text1" w:themeTint="F2"/>
          <w:sz w:val="30"/>
          <w:szCs w:val="30"/>
        </w:rPr>
        <w:t>细化预算指标，提高预算科学性。预算编制前根据年度内单位可预见的工作任务，确定单位年度预算目标，细化预算指标，科学合理编制部门预算，推进预算编制科学化、准确化。年度预算编制后，根据实际情况，定期做好预算执行分析，掌握预算执行进度，纠正偏差，为下一次科学、准确地编制部门预算积累经验。</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color w:val="0C0C0C" w:themeColor="text1" w:themeTint="F2"/>
          <w:sz w:val="30"/>
          <w:szCs w:val="30"/>
        </w:rPr>
      </w:pPr>
      <w:r>
        <w:rPr>
          <w:rFonts w:eastAsia="黑体"/>
          <w:color w:val="0C0C0C" w:themeColor="text1" w:themeTint="F2"/>
          <w:sz w:val="30"/>
          <w:szCs w:val="30"/>
        </w:rPr>
        <w:t>九、绩效自评结果拟应用和公开情况</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color w:val="0C0C0C" w:themeColor="text1" w:themeTint="F2"/>
          <w:sz w:val="30"/>
          <w:szCs w:val="30"/>
        </w:rPr>
      </w:pPr>
      <w:r>
        <w:rPr>
          <w:rFonts w:eastAsia="黑体"/>
          <w:color w:val="0C0C0C" w:themeColor="text1" w:themeTint="F2"/>
          <w:sz w:val="30"/>
          <w:szCs w:val="30"/>
        </w:rPr>
        <w:t>其他需要说明的情况</w:t>
      </w: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方正小标宋_GBK"/>
          <w:kern w:val="0"/>
          <w:sz w:val="36"/>
          <w:szCs w:val="36"/>
        </w:rPr>
      </w:pPr>
      <w:r>
        <w:rPr>
          <w:rFonts w:eastAsia="方正小标宋_GBK"/>
          <w:sz w:val="36"/>
          <w:szCs w:val="36"/>
        </w:rPr>
        <w:t>整体支出绩效自评</w:t>
      </w:r>
      <w:r>
        <w:rPr>
          <w:rFonts w:eastAsia="方正小标宋_GBK"/>
          <w:kern w:val="0"/>
          <w:sz w:val="36"/>
          <w:szCs w:val="36"/>
        </w:rPr>
        <w:t>基础数据表</w:t>
      </w:r>
    </w:p>
    <w:p>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spacing w:line="240" w:lineRule="atLeast"/>
        <w:ind w:left="0"/>
        <w:jc w:val="center"/>
        <w:rPr>
          <w:rFonts w:eastAsia="仿宋_GB2312"/>
          <w:kern w:val="0"/>
          <w:sz w:val="24"/>
        </w:rPr>
      </w:pPr>
      <w:r>
        <w:rPr>
          <w:rFonts w:hint="eastAsia" w:eastAsia="仿宋_GB2312"/>
          <w:kern w:val="0"/>
          <w:sz w:val="24"/>
        </w:rPr>
        <w:t xml:space="preserve">                                                       单位：万元</w:t>
      </w:r>
    </w:p>
    <w:tbl>
      <w:tblPr>
        <w:tblStyle w:val="5"/>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224"/>
        <w:gridCol w:w="814"/>
        <w:gridCol w:w="951"/>
        <w:gridCol w:w="1289"/>
        <w:gridCol w:w="916"/>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财政供养人员情况</w:t>
            </w:r>
          </w:p>
        </w:tc>
        <w:tc>
          <w:tcPr>
            <w:tcW w:w="2038" w:type="dxa"/>
            <w:gridSpan w:val="2"/>
            <w:noWrap/>
            <w:vAlign w:val="center"/>
          </w:tcPr>
          <w:p>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编制数</w:t>
            </w:r>
          </w:p>
        </w:tc>
        <w:tc>
          <w:tcPr>
            <w:tcW w:w="2240" w:type="dxa"/>
            <w:gridSpan w:val="2"/>
            <w:noWrap/>
            <w:vAlign w:val="center"/>
          </w:tcPr>
          <w:p>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2023年实际在职人数</w:t>
            </w:r>
          </w:p>
        </w:tc>
        <w:tc>
          <w:tcPr>
            <w:tcW w:w="1832" w:type="dxa"/>
            <w:gridSpan w:val="2"/>
            <w:noWrap/>
            <w:vAlign w:val="center"/>
          </w:tcPr>
          <w:p>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ign w:val="center"/>
          </w:tcPr>
          <w:p>
            <w:pPr>
              <w:jc w:val="center"/>
              <w:rPr>
                <w:rFonts w:eastAsia="仿宋_GB2312"/>
                <w:kern w:val="0"/>
                <w:szCs w:val="21"/>
              </w:rPr>
            </w:pPr>
          </w:p>
        </w:tc>
        <w:tc>
          <w:tcPr>
            <w:tcW w:w="2038"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10</w:t>
            </w:r>
          </w:p>
        </w:tc>
        <w:tc>
          <w:tcPr>
            <w:tcW w:w="2240"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10</w:t>
            </w:r>
          </w:p>
        </w:tc>
        <w:tc>
          <w:tcPr>
            <w:tcW w:w="1832"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经费控制情况(万元)</w:t>
            </w:r>
          </w:p>
        </w:tc>
        <w:tc>
          <w:tcPr>
            <w:tcW w:w="2038" w:type="dxa"/>
            <w:gridSpan w:val="2"/>
            <w:noWrap/>
            <w:vAlign w:val="center"/>
          </w:tcPr>
          <w:p>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2022年决算数</w:t>
            </w:r>
          </w:p>
        </w:tc>
        <w:tc>
          <w:tcPr>
            <w:tcW w:w="2240" w:type="dxa"/>
            <w:gridSpan w:val="2"/>
            <w:noWrap/>
            <w:vAlign w:val="center"/>
          </w:tcPr>
          <w:p>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2023年预算数</w:t>
            </w:r>
          </w:p>
        </w:tc>
        <w:tc>
          <w:tcPr>
            <w:tcW w:w="1832" w:type="dxa"/>
            <w:gridSpan w:val="2"/>
            <w:noWrap/>
            <w:vAlign w:val="center"/>
          </w:tcPr>
          <w:p>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2023年决算数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三公经费</w:t>
            </w:r>
          </w:p>
        </w:tc>
        <w:tc>
          <w:tcPr>
            <w:tcW w:w="2038"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1.34</w:t>
            </w:r>
          </w:p>
        </w:tc>
        <w:tc>
          <w:tcPr>
            <w:tcW w:w="1832"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1、公务用车购置和维护经费</w:t>
            </w:r>
          </w:p>
        </w:tc>
        <w:tc>
          <w:tcPr>
            <w:tcW w:w="2038"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1832"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其中：公车购置</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公车运行维护</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2、出国经费</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3、公务接待</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1.34</w:t>
            </w:r>
          </w:p>
        </w:tc>
        <w:tc>
          <w:tcPr>
            <w:tcW w:w="1832"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项目支出：</w:t>
            </w:r>
          </w:p>
        </w:tc>
        <w:tc>
          <w:tcPr>
            <w:tcW w:w="2038"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27.12</w:t>
            </w:r>
          </w:p>
        </w:tc>
        <w:tc>
          <w:tcPr>
            <w:tcW w:w="1832"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1、业务工作经费</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2、运行维护经费</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3、本级专项资金（一个专项一行）</w:t>
            </w:r>
          </w:p>
        </w:tc>
        <w:tc>
          <w:tcPr>
            <w:tcW w:w="2038"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27.12</w:t>
            </w:r>
          </w:p>
        </w:tc>
        <w:tc>
          <w:tcPr>
            <w:tcW w:w="1832"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教育事业发展经费</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27.12</w:t>
            </w:r>
          </w:p>
        </w:tc>
        <w:tc>
          <w:tcPr>
            <w:tcW w:w="1832"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公用经费：</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其中：办公经费</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水费、电费、差旅费</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3.3</w:t>
            </w:r>
          </w:p>
        </w:tc>
        <w:tc>
          <w:tcPr>
            <w:tcW w:w="1832"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会议费、培训费</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政府采购金额</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 xml:space="preserve">部门基本支出预算调整 </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 xml:space="preserve">楼堂馆所控制情况 </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（2023年完工项目）</w:t>
            </w:r>
          </w:p>
        </w:tc>
        <w:tc>
          <w:tcPr>
            <w:tcW w:w="1224" w:type="dxa"/>
            <w:noWrap/>
            <w:vAlign w:val="center"/>
          </w:tcPr>
          <w:p>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 xml:space="preserve">批复规模 </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w:t>
            </w:r>
          </w:p>
        </w:tc>
        <w:tc>
          <w:tcPr>
            <w:tcW w:w="814" w:type="dxa"/>
            <w:noWrap/>
            <w:vAlign w:val="center"/>
          </w:tcPr>
          <w:p>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实际规模</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w:t>
            </w:r>
          </w:p>
        </w:tc>
        <w:tc>
          <w:tcPr>
            <w:tcW w:w="951" w:type="dxa"/>
            <w:noWrap/>
            <w:vAlign w:val="center"/>
          </w:tcPr>
          <w:p>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规模控制率</w:t>
            </w:r>
          </w:p>
        </w:tc>
        <w:tc>
          <w:tcPr>
            <w:tcW w:w="1289" w:type="dxa"/>
            <w:noWrap/>
            <w:vAlign w:val="center"/>
          </w:tcPr>
          <w:p>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预算投资</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（万元）</w:t>
            </w:r>
          </w:p>
        </w:tc>
        <w:tc>
          <w:tcPr>
            <w:tcW w:w="916" w:type="dxa"/>
            <w:noWrap/>
            <w:vAlign w:val="center"/>
          </w:tcPr>
          <w:p>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实际投资</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（万元）</w:t>
            </w:r>
          </w:p>
        </w:tc>
        <w:tc>
          <w:tcPr>
            <w:tcW w:w="916" w:type="dxa"/>
            <w:noWrap/>
            <w:vAlign w:val="center"/>
          </w:tcPr>
          <w:p>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354" w:type="dxa"/>
            <w:vMerge w:val="continue"/>
            <w:noWrap/>
            <w:vAlign w:val="center"/>
          </w:tcPr>
          <w:p>
            <w:pPr>
              <w:jc w:val="center"/>
              <w:rPr>
                <w:rFonts w:eastAsia="仿宋_GB2312"/>
                <w:kern w:val="0"/>
                <w:szCs w:val="21"/>
              </w:rPr>
            </w:pPr>
          </w:p>
        </w:tc>
        <w:tc>
          <w:tcPr>
            <w:tcW w:w="1224" w:type="dxa"/>
            <w:noWrap/>
            <w:vAlign w:val="center"/>
          </w:tcPr>
          <w:p>
            <w:pPr>
              <w:jc w:val="center"/>
              <w:rPr>
                <w:rFonts w:eastAsia="仿宋_GB2312"/>
                <w:kern w:val="0"/>
                <w:szCs w:val="21"/>
              </w:rPr>
            </w:pPr>
          </w:p>
        </w:tc>
        <w:tc>
          <w:tcPr>
            <w:tcW w:w="814" w:type="dxa"/>
            <w:noWrap/>
            <w:vAlign w:val="center"/>
          </w:tcPr>
          <w:p>
            <w:pPr>
              <w:jc w:val="center"/>
              <w:rPr>
                <w:rFonts w:eastAsia="仿宋_GB2312"/>
                <w:kern w:val="0"/>
                <w:szCs w:val="21"/>
              </w:rPr>
            </w:pPr>
          </w:p>
        </w:tc>
        <w:tc>
          <w:tcPr>
            <w:tcW w:w="951" w:type="dxa"/>
            <w:noWrap/>
            <w:vAlign w:val="center"/>
          </w:tcPr>
          <w:p>
            <w:pPr>
              <w:jc w:val="center"/>
              <w:rPr>
                <w:rFonts w:eastAsia="仿宋_GB2312"/>
                <w:kern w:val="0"/>
                <w:szCs w:val="21"/>
              </w:rPr>
            </w:pPr>
          </w:p>
        </w:tc>
        <w:tc>
          <w:tcPr>
            <w:tcW w:w="1289" w:type="dxa"/>
            <w:noWrap/>
            <w:vAlign w:val="center"/>
          </w:tcPr>
          <w:p>
            <w:pPr>
              <w:jc w:val="center"/>
              <w:rPr>
                <w:rFonts w:eastAsia="仿宋_GB2312"/>
                <w:kern w:val="0"/>
                <w:szCs w:val="21"/>
              </w:rPr>
            </w:pPr>
          </w:p>
        </w:tc>
        <w:tc>
          <w:tcPr>
            <w:tcW w:w="916" w:type="dxa"/>
            <w:noWrap/>
            <w:vAlign w:val="center"/>
          </w:tcPr>
          <w:p>
            <w:pPr>
              <w:jc w:val="center"/>
              <w:rPr>
                <w:rFonts w:eastAsia="仿宋_GB2312"/>
                <w:kern w:val="0"/>
                <w:szCs w:val="21"/>
              </w:rPr>
            </w:pPr>
          </w:p>
        </w:tc>
        <w:tc>
          <w:tcPr>
            <w:tcW w:w="916" w:type="dxa"/>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厉行节约保障措施</w:t>
            </w:r>
          </w:p>
        </w:tc>
        <w:tc>
          <w:tcPr>
            <w:tcW w:w="6110" w:type="dxa"/>
            <w:gridSpan w:val="6"/>
            <w:noWrap/>
            <w:vAlign w:val="center"/>
          </w:tcPr>
          <w:p>
            <w:pPr>
              <w:jc w:val="center"/>
              <w:rPr>
                <w:rFonts w:eastAsia="仿宋_GB2312"/>
                <w:kern w:val="0"/>
                <w:szCs w:val="21"/>
              </w:rPr>
            </w:pPr>
          </w:p>
        </w:tc>
      </w:tr>
    </w:tbl>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kern w:val="0"/>
          <w:sz w:val="22"/>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36"/>
          <w:szCs w:val="36"/>
        </w:rPr>
      </w:pPr>
      <w:r>
        <w:rPr>
          <w:rFonts w:eastAsia="方正小标宋_GBK"/>
          <w:color w:val="000000"/>
          <w:kern w:val="0"/>
          <w:sz w:val="36"/>
          <w:szCs w:val="36"/>
        </w:rPr>
        <w:t>部门整体支出绩效自评表</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color w:val="000000"/>
          <w:kern w:val="0"/>
          <w:szCs w:val="21"/>
        </w:rPr>
      </w:pPr>
    </w:p>
    <w:tbl>
      <w:tblPr>
        <w:tblStyle w:val="5"/>
        <w:tblW w:w="9225"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2"/>
        <w:gridCol w:w="647"/>
        <w:gridCol w:w="877"/>
        <w:gridCol w:w="1482"/>
        <w:gridCol w:w="822"/>
        <w:gridCol w:w="859"/>
        <w:gridCol w:w="118"/>
        <w:gridCol w:w="506"/>
        <w:gridCol w:w="618"/>
        <w:gridCol w:w="532"/>
        <w:gridCol w:w="684"/>
        <w:gridCol w:w="162"/>
        <w:gridCol w:w="654"/>
        <w:gridCol w:w="6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right"/>
        </w:trPr>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预算部门名称</w:t>
            </w:r>
          </w:p>
        </w:tc>
        <w:tc>
          <w:tcPr>
            <w:tcW w:w="7059"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江永县上江圩镇中心幼儿园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right"/>
        </w:trPr>
        <w:tc>
          <w:tcPr>
            <w:tcW w:w="216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Microsoft YaHei UI" w:hAnsi="Microsoft YaHei UI" w:eastAsia="Microsoft YaHei UI" w:cs="Microsoft YaHei UI"/>
                <w:i w:val="0"/>
                <w:iCs w:val="0"/>
                <w:color w:val="000000"/>
                <w:sz w:val="18"/>
                <w:szCs w:val="18"/>
                <w:u w:val="none"/>
              </w:rPr>
            </w:pPr>
            <w:r>
              <w:rPr>
                <w:rFonts w:hint="default" w:ascii="Microsoft YaHei UI" w:hAnsi="Microsoft YaHei UI" w:eastAsia="Microsoft YaHei UI" w:cs="Microsoft YaHei UI"/>
                <w:i w:val="0"/>
                <w:iCs w:val="0"/>
                <w:color w:val="000000"/>
                <w:kern w:val="0"/>
                <w:sz w:val="18"/>
                <w:szCs w:val="18"/>
                <w:u w:val="none"/>
                <w:lang w:val="en-US" w:eastAsia="zh-CN" w:bidi="ar"/>
              </w:rPr>
              <w:t>年度预算申请</w:t>
            </w:r>
            <w:r>
              <w:rPr>
                <w:rFonts w:hint="default" w:ascii="Microsoft YaHei UI" w:hAnsi="Microsoft YaHei UI" w:eastAsia="Microsoft YaHei UI" w:cs="Microsoft YaHei UI"/>
                <w:i w:val="0"/>
                <w:iCs w:val="0"/>
                <w:color w:val="000000"/>
                <w:kern w:val="0"/>
                <w:sz w:val="18"/>
                <w:szCs w:val="18"/>
                <w:u w:val="none"/>
                <w:lang w:val="en-US" w:eastAsia="zh-CN" w:bidi="ar"/>
              </w:rPr>
              <w:br w:type="textWrapping"/>
            </w:r>
            <w:r>
              <w:rPr>
                <w:rFonts w:hint="default" w:ascii="Microsoft YaHei UI" w:hAnsi="Microsoft YaHei UI" w:eastAsia="Microsoft YaHei UI" w:cs="Microsoft YaHei UI"/>
                <w:i w:val="0"/>
                <w:iCs w:val="0"/>
                <w:color w:val="000000"/>
                <w:kern w:val="0"/>
                <w:sz w:val="18"/>
                <w:szCs w:val="18"/>
                <w:u w:val="none"/>
                <w:lang w:val="en-US" w:eastAsia="zh-CN" w:bidi="ar"/>
              </w:rPr>
              <w:t>(万元)</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年初预算数(万元)</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全年预算数（万元）</w:t>
            </w: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宋体" w:hAnsi="宋体" w:eastAsia="宋体" w:cs="宋体"/>
                <w:b/>
                <w:bCs/>
                <w:i w:val="0"/>
                <w:iCs w:val="0"/>
                <w:color w:val="000000"/>
                <w:kern w:val="0"/>
                <w:sz w:val="18"/>
                <w:szCs w:val="18"/>
                <w:u w:val="none"/>
                <w:lang w:val="en-US" w:eastAsia="zh-CN" w:bidi="ar"/>
              </w:rPr>
              <w:t>全年执行数（万元）</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年度资金总额：</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122.34</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122.34</w:t>
            </w: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Times New Roman" w:hAnsi="Times New Roman" w:eastAsia="宋体" w:cs="Times New Roman"/>
                <w:i w:val="0"/>
                <w:iCs w:val="0"/>
                <w:color w:val="000000"/>
                <w:kern w:val="0"/>
                <w:sz w:val="18"/>
                <w:szCs w:val="18"/>
                <w:u w:val="none"/>
                <w:lang w:val="en-US" w:eastAsia="zh-CN" w:bidi="ar"/>
              </w:rPr>
              <w:t>122.34</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100.00%</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44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按收入性质分：</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一般公共预算：</w:t>
            </w:r>
          </w:p>
        </w:tc>
        <w:tc>
          <w:tcPr>
            <w:tcW w:w="29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122.34</w:t>
            </w:r>
          </w:p>
        </w:tc>
        <w:tc>
          <w:tcPr>
            <w:tcW w:w="12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宋体" w:hAnsi="宋体" w:eastAsia="宋体" w:cs="宋体"/>
                <w:b/>
                <w:bCs/>
                <w:i w:val="0"/>
                <w:iCs w:val="0"/>
                <w:color w:val="000000"/>
                <w:kern w:val="0"/>
                <w:sz w:val="18"/>
                <w:szCs w:val="18"/>
                <w:u w:val="none"/>
                <w:lang w:val="en-US" w:eastAsia="zh-CN" w:bidi="ar"/>
              </w:rPr>
              <w:t>其中:基本支出：</w:t>
            </w:r>
          </w:p>
        </w:tc>
        <w:tc>
          <w:tcPr>
            <w:tcW w:w="143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95.22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政府性基金拨款：</w:t>
            </w:r>
          </w:p>
        </w:tc>
        <w:tc>
          <w:tcPr>
            <w:tcW w:w="29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12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143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纳入专户管理的非税收入拨款：</w:t>
            </w:r>
          </w:p>
        </w:tc>
        <w:tc>
          <w:tcPr>
            <w:tcW w:w="29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12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宋体" w:hAnsi="宋体" w:eastAsia="宋体" w:cs="宋体"/>
                <w:b/>
                <w:bCs/>
                <w:i w:val="0"/>
                <w:iCs w:val="0"/>
                <w:color w:val="000000"/>
                <w:kern w:val="0"/>
                <w:sz w:val="18"/>
                <w:szCs w:val="18"/>
                <w:u w:val="none"/>
                <w:lang w:val="en-US" w:eastAsia="zh-CN" w:bidi="ar"/>
              </w:rPr>
              <w:t>项目支出：</w:t>
            </w:r>
          </w:p>
        </w:tc>
        <w:tc>
          <w:tcPr>
            <w:tcW w:w="143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27.12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其他资金</w:t>
            </w:r>
          </w:p>
        </w:tc>
        <w:tc>
          <w:tcPr>
            <w:tcW w:w="29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12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143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jc w:val="right"/>
        </w:trPr>
        <w:tc>
          <w:tcPr>
            <w:tcW w:w="216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年度总体目标</w:t>
            </w:r>
          </w:p>
        </w:tc>
        <w:tc>
          <w:tcPr>
            <w:tcW w:w="44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预期目标</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仿宋_GB2312" w:hAnsi="宋体" w:eastAsia="仿宋_GB2312" w:cs="仿宋_GB2312"/>
                <w:b/>
                <w:bCs/>
                <w:i w:val="0"/>
                <w:iCs w:val="0"/>
                <w:color w:val="000000"/>
                <w:sz w:val="18"/>
                <w:szCs w:val="18"/>
                <w:u w:val="none"/>
              </w:rPr>
            </w:pPr>
          </w:p>
        </w:tc>
        <w:tc>
          <w:tcPr>
            <w:tcW w:w="44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贯彻实行国家教育方针政策，提高幼儿园教育质量，促进幼儿全面发展，提高教师教学水平，更好的满足家长和幼儿的需求。</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righ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绩效指标</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一级指标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三级指标</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实际完成值</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b/>
                <w:bCs/>
                <w:i w:val="0"/>
                <w:iCs w:val="0"/>
                <w:color w:val="000000"/>
                <w:kern w:val="0"/>
                <w:sz w:val="18"/>
                <w:szCs w:val="18"/>
                <w:u w:val="none"/>
                <w:lang w:val="en-US" w:eastAsia="zh-CN" w:bidi="ar"/>
              </w:rPr>
              <w:t>分值</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得分</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jc w:val="righ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绩效指标</w:t>
            </w:r>
          </w:p>
        </w:tc>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产出指标</w:t>
            </w: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教师培训人数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22人</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22人</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学生人数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267人</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267人</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教师考核人数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10人</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r>
              <w:rPr>
                <w:rFonts w:hint="default" w:ascii="仿宋_GB2312" w:hAnsi="宋体" w:eastAsia="仿宋_GB2312" w:cs="仿宋_GB2312"/>
                <w:i w:val="0"/>
                <w:iCs w:val="0"/>
                <w:color w:val="000000"/>
                <w:kern w:val="0"/>
                <w:sz w:val="18"/>
                <w:szCs w:val="18"/>
                <w:u w:val="none"/>
                <w:lang w:val="en-US" w:eastAsia="zh-CN" w:bidi="ar"/>
              </w:rPr>
              <w:t>人</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学生资助人数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66人</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66人</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津贴补贴奖金人数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10人</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10人</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工会经费人数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kern w:val="0"/>
                <w:sz w:val="18"/>
                <w:szCs w:val="18"/>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22人</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kern w:val="0"/>
                <w:sz w:val="18"/>
                <w:szCs w:val="18"/>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22人</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kern w:val="0"/>
                <w:sz w:val="18"/>
                <w:szCs w:val="18"/>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教师培训完成率</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学生人数准确率</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教师考核完成率</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事业发展资金完成率</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完成时间</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2023年内完成</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2023年内完成</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效益指标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提高教师队伍生活质量</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提高教师队伍生活质量</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提高教师队伍生活质量</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促进全园师生全面发展</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促进全园师生全面发展</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促进全面师生发展</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bookmarkStart w:id="0" w:name="_GoBack"/>
            <w:r>
              <w:rPr>
                <w:rFonts w:hint="eastAsia" w:ascii="仿宋" w:hAnsi="仿宋" w:eastAsia="仿宋" w:cs="仿宋"/>
                <w:i w:val="0"/>
                <w:iCs w:val="0"/>
                <w:color w:val="000000"/>
                <w:kern w:val="0"/>
                <w:sz w:val="18"/>
                <w:szCs w:val="18"/>
                <w:u w:val="none"/>
                <w:lang w:val="en-US" w:eastAsia="zh-CN" w:bidi="ar"/>
              </w:rPr>
              <w:t>校</w:t>
            </w:r>
            <w:bookmarkEnd w:id="0"/>
            <w:r>
              <w:rPr>
                <w:rFonts w:hint="eastAsia" w:ascii="仿宋" w:hAnsi="仿宋" w:eastAsia="仿宋" w:cs="仿宋"/>
                <w:i w:val="0"/>
                <w:iCs w:val="0"/>
                <w:color w:val="000000"/>
                <w:kern w:val="0"/>
                <w:sz w:val="18"/>
                <w:szCs w:val="18"/>
                <w:u w:val="none"/>
                <w:lang w:val="en-US" w:eastAsia="zh-CN" w:bidi="ar"/>
              </w:rPr>
              <w:t>园环境改善</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改善</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改善</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i w:val="0"/>
                <w:iCs w:val="0"/>
                <w:color w:val="000000"/>
                <w:sz w:val="18"/>
                <w:szCs w:val="18"/>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仿宋_GB2312" w:hAnsi="宋体" w:eastAsia="仿宋_GB2312" w:cs="仿宋_GB2312"/>
                <w:i w:val="0"/>
                <w:iCs w:val="0"/>
                <w:color w:val="000000"/>
                <w:sz w:val="18"/>
                <w:szCs w:val="18"/>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仿宋_GB2312" w:hAnsi="宋体" w:eastAsia="仿宋_GB2312" w:cs="仿宋_GB2312"/>
                <w:i w:val="0"/>
                <w:iCs w:val="0"/>
                <w:color w:val="000000"/>
                <w:sz w:val="18"/>
                <w:szCs w:val="18"/>
                <w:u w:val="none"/>
              </w:rPr>
            </w:pP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满意度指标</w:t>
            </w: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家长满意度</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94%</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学生满意度</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95%</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成本指标</w:t>
            </w: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基本支出执行数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95.22万元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95.22万元</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10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项目支出执行数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27.12万元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27.12万元</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10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资金使用合格</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合格</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合格</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10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i w:val="0"/>
                <w:iCs w:val="0"/>
                <w:color w:val="000000"/>
                <w:sz w:val="18"/>
                <w:szCs w:val="18"/>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仿宋_GB2312" w:hAnsi="宋体" w:eastAsia="仿宋_GB2312" w:cs="仿宋_GB2312"/>
                <w:i w:val="0"/>
                <w:iCs w:val="0"/>
                <w:color w:val="000000"/>
                <w:sz w:val="18"/>
                <w:szCs w:val="18"/>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仿宋_GB2312" w:hAnsi="宋体" w:eastAsia="仿宋_GB2312" w:cs="仿宋_GB2312"/>
                <w:i w:val="0"/>
                <w:iCs w:val="0"/>
                <w:color w:val="000000"/>
                <w:sz w:val="18"/>
                <w:szCs w:val="18"/>
                <w:u w:val="none"/>
              </w:rPr>
            </w:pP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bl>
    <w:p>
      <w:pPr>
        <w:keepNext w:val="0"/>
        <w:keepLines w:val="0"/>
        <w:pageBreakBefore w:val="0"/>
        <w:kinsoku/>
        <w:wordWrap/>
        <w:overflowPunct/>
        <w:topLinePunct w:val="0"/>
        <w:autoSpaceDE/>
        <w:autoSpaceDN/>
        <w:bidi w:val="0"/>
        <w:adjustRightInd/>
        <w:snapToGrid/>
        <w:spacing w:line="240" w:lineRule="atLeast"/>
        <w:ind w:left="0"/>
      </w:pPr>
    </w:p>
    <w:p>
      <w:pPr>
        <w:keepNext w:val="0"/>
        <w:keepLines w:val="0"/>
        <w:pageBreakBefore w:val="0"/>
        <w:kinsoku/>
        <w:wordWrap/>
        <w:overflowPunct/>
        <w:topLinePunct w:val="0"/>
        <w:autoSpaceDE/>
        <w:autoSpaceDN/>
        <w:bidi w:val="0"/>
        <w:adjustRightInd/>
        <w:snapToGrid/>
        <w:spacing w:line="240" w:lineRule="atLeast"/>
        <w:ind w:left="0"/>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32"/>
          <w:szCs w:val="32"/>
        </w:rPr>
      </w:pPr>
      <w:r>
        <w:rPr>
          <w:rFonts w:hint="eastAsia" w:ascii="黑体" w:hAnsi="黑体" w:eastAsia="黑体"/>
          <w:kern w:val="0"/>
          <w:sz w:val="32"/>
          <w:szCs w:val="32"/>
          <w:lang w:eastAsia="zh-CN"/>
        </w:rPr>
        <w:t>上江圩镇中心幼儿园</w:t>
      </w:r>
      <w:r>
        <w:rPr>
          <w:rFonts w:ascii="黑体" w:hAnsi="黑体" w:eastAsia="黑体"/>
          <w:kern w:val="0"/>
          <w:sz w:val="32"/>
          <w:szCs w:val="32"/>
        </w:rPr>
        <w:t>部门整体支出绩效评价表</w:t>
      </w:r>
    </w:p>
    <w:tbl>
      <w:tblPr>
        <w:tblStyle w:val="5"/>
        <w:tblW w:w="9248" w:type="dxa"/>
        <w:jc w:val="center"/>
        <w:tblLayout w:type="fixed"/>
        <w:tblCellMar>
          <w:top w:w="0" w:type="dxa"/>
          <w:left w:w="108" w:type="dxa"/>
          <w:bottom w:w="0" w:type="dxa"/>
          <w:right w:w="108" w:type="dxa"/>
        </w:tblCellMar>
      </w:tblPr>
      <w:tblGrid>
        <w:gridCol w:w="354"/>
        <w:gridCol w:w="365"/>
        <w:gridCol w:w="363"/>
        <w:gridCol w:w="384"/>
        <w:gridCol w:w="1044"/>
        <w:gridCol w:w="392"/>
        <w:gridCol w:w="3232"/>
        <w:gridCol w:w="2808"/>
        <w:gridCol w:w="306"/>
      </w:tblGrid>
      <w:tr>
        <w:tblPrEx>
          <w:tblCellMar>
            <w:top w:w="0" w:type="dxa"/>
            <w:left w:w="108" w:type="dxa"/>
            <w:bottom w:w="0" w:type="dxa"/>
            <w:right w:w="108" w:type="dxa"/>
          </w:tblCellMar>
        </w:tblPrEx>
        <w:trPr>
          <w:trHeight w:val="1390" w:hRule="atLeast"/>
          <w:jc w:val="center"/>
        </w:trPr>
        <w:tc>
          <w:tcPr>
            <w:tcW w:w="3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一级指标</w:t>
            </w:r>
          </w:p>
        </w:tc>
        <w:tc>
          <w:tcPr>
            <w:tcW w:w="3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36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二级指标</w:t>
            </w:r>
          </w:p>
        </w:tc>
        <w:tc>
          <w:tcPr>
            <w:tcW w:w="38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10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三级</w:t>
            </w:r>
          </w:p>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指标</w:t>
            </w:r>
          </w:p>
        </w:tc>
        <w:tc>
          <w:tcPr>
            <w:tcW w:w="39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323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评价标准</w:t>
            </w:r>
          </w:p>
        </w:tc>
        <w:tc>
          <w:tcPr>
            <w:tcW w:w="280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指标说明</w:t>
            </w:r>
          </w:p>
        </w:tc>
        <w:tc>
          <w:tcPr>
            <w:tcW w:w="30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得分</w:t>
            </w:r>
          </w:p>
        </w:tc>
      </w:tr>
      <w:tr>
        <w:tblPrEx>
          <w:tblCellMar>
            <w:top w:w="0" w:type="dxa"/>
            <w:left w:w="108" w:type="dxa"/>
            <w:bottom w:w="0" w:type="dxa"/>
            <w:right w:w="108" w:type="dxa"/>
          </w:tblCellMar>
        </w:tblPrEx>
        <w:trPr>
          <w:trHeight w:val="1814" w:hRule="atLeast"/>
          <w:jc w:val="center"/>
        </w:trPr>
        <w:tc>
          <w:tcPr>
            <w:tcW w:w="354"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投入</w:t>
            </w:r>
          </w:p>
        </w:tc>
        <w:tc>
          <w:tcPr>
            <w:tcW w:w="365"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363" w:type="dxa"/>
            <w:vMerge w:val="restart"/>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预算配置</w:t>
            </w: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在职人员控制率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以100%为标准。在职人员控制率≦100%，计5分；每超过一个百分点扣0.5分，扣完为止。</w:t>
            </w:r>
          </w:p>
        </w:tc>
        <w:tc>
          <w:tcPr>
            <w:tcW w:w="2808"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在职人员控制率=（在职人员数/编制数）×100%，在职人员数：部门（单位）实际在职人数，以市财政局确定的部门决算编制口径为准。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编制数：机构编制部门核定批复的部门（单位）的人员编制数。</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5　</w:t>
            </w:r>
          </w:p>
        </w:tc>
      </w:tr>
      <w:tr>
        <w:tblPrEx>
          <w:tblCellMar>
            <w:top w:w="0" w:type="dxa"/>
            <w:left w:w="108" w:type="dxa"/>
            <w:bottom w:w="0" w:type="dxa"/>
            <w:right w:w="108" w:type="dxa"/>
          </w:tblCellMar>
        </w:tblPrEx>
        <w:trPr>
          <w:jc w:val="center"/>
        </w:trPr>
        <w:tc>
          <w:tcPr>
            <w:tcW w:w="354"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“三公经费”变动率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“三公经费”变动率≦0,计5分；“三公经费”＞0，每超过一个百分点扣0.8分，扣完为止。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“三公经费”变动率=[（本年度“三公经费”预算数-上年度“三公经费”预算数）/上年度“三公经费”预算数]×100%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5　</w:t>
            </w:r>
          </w:p>
        </w:tc>
      </w:tr>
      <w:tr>
        <w:tblPrEx>
          <w:tblCellMar>
            <w:top w:w="0" w:type="dxa"/>
            <w:left w:w="108" w:type="dxa"/>
            <w:bottom w:w="0" w:type="dxa"/>
            <w:right w:w="108" w:type="dxa"/>
          </w:tblCellMar>
        </w:tblPrEx>
        <w:trPr>
          <w:jc w:val="center"/>
        </w:trPr>
        <w:tc>
          <w:tcPr>
            <w:tcW w:w="354"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过                                                                                                                                       程</w:t>
            </w:r>
          </w:p>
        </w:tc>
        <w:tc>
          <w:tcPr>
            <w:tcW w:w="365"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60</w:t>
            </w:r>
          </w:p>
        </w:tc>
        <w:tc>
          <w:tcPr>
            <w:tcW w:w="36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预算执行</w:t>
            </w: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20</w:t>
            </w: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预算完成率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100%计满分，每低于5%扣2分，扣完为止。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预算完成率=（上年结转+年初预算+本年追加预算-年末结余）/（上年结转+年初预算+本年追加预算）×100%。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tblPrEx>
          <w:tblCellMar>
            <w:top w:w="0" w:type="dxa"/>
            <w:left w:w="108" w:type="dxa"/>
            <w:bottom w:w="0" w:type="dxa"/>
            <w:right w:w="108" w:type="dxa"/>
          </w:tblCellMar>
        </w:tblPrEx>
        <w:trPr>
          <w:trHeight w:val="1273"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预算控制率=0，计5分；0-10%（含），计4分；10-20%（含），计3分；20-30%（含），计2分；大于30%不得分。</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预算控制率=（本年追加预算/年初预算）×100%。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tblPrEx>
          <w:tblCellMar>
            <w:top w:w="0" w:type="dxa"/>
            <w:left w:w="108" w:type="dxa"/>
            <w:bottom w:w="0" w:type="dxa"/>
            <w:right w:w="108" w:type="dxa"/>
          </w:tblCellMar>
        </w:tblPrEx>
        <w:trPr>
          <w:trHeight w:val="1325"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新建楼堂馆所面积控制率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100%以下（含）计满分，每超出5%扣2分，扣完为止。没有楼堂馆所项目的部门按满分计算。</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楼堂馆所面积控制率=实际建设面积/批准建设面积×100% 。</w:t>
            </w:r>
            <w:r>
              <w:rPr>
                <w:rFonts w:hint="eastAsia" w:ascii="仿宋" w:hAnsi="仿宋" w:eastAsia="仿宋" w:cs="仿宋"/>
                <w:kern w:val="0"/>
                <w:sz w:val="21"/>
                <w:szCs w:val="21"/>
              </w:rPr>
              <w:br w:type="textWrapping"/>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FF0000"/>
                <w:kern w:val="0"/>
                <w:sz w:val="21"/>
                <w:szCs w:val="21"/>
              </w:rPr>
              <w:t>　</w:t>
            </w:r>
            <w:r>
              <w:rPr>
                <w:rFonts w:hint="eastAsia" w:ascii="仿宋" w:hAnsi="仿宋" w:eastAsia="仿宋" w:cs="仿宋"/>
                <w:color w:val="000000"/>
                <w:kern w:val="0"/>
                <w:sz w:val="21"/>
                <w:szCs w:val="21"/>
              </w:rPr>
              <w:t>5</w:t>
            </w:r>
          </w:p>
        </w:tc>
      </w:tr>
      <w:tr>
        <w:tblPrEx>
          <w:tblCellMar>
            <w:top w:w="0" w:type="dxa"/>
            <w:left w:w="108" w:type="dxa"/>
            <w:bottom w:w="0" w:type="dxa"/>
            <w:right w:w="108" w:type="dxa"/>
          </w:tblCellMar>
        </w:tblPrEx>
        <w:trPr>
          <w:trHeight w:val="1543"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新建楼堂馆所投资概算控制率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100%以下（含）计满分，每超出5%扣2分，扣完为止。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楼堂馆所投资预算控制率=实际投资金额/批准投资金额×100% 。</w:t>
            </w:r>
            <w:r>
              <w:rPr>
                <w:rFonts w:hint="eastAsia" w:ascii="仿宋" w:hAnsi="仿宋" w:eastAsia="仿宋" w:cs="仿宋"/>
                <w:kern w:val="0"/>
                <w:sz w:val="21"/>
                <w:szCs w:val="21"/>
              </w:rPr>
              <w:br w:type="textWrapping"/>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tblPrEx>
          <w:tblCellMar>
            <w:top w:w="0" w:type="dxa"/>
            <w:left w:w="108" w:type="dxa"/>
            <w:bottom w:w="0" w:type="dxa"/>
            <w:right w:w="108" w:type="dxa"/>
          </w:tblCellMar>
        </w:tblPrEx>
        <w:trPr>
          <w:trHeight w:val="1562"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预算管理</w:t>
            </w: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40</w:t>
            </w: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公用经费控制率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100%以下（含）计满分，每超出1%扣1分，扣完为止。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公用经费控制率=（实际支出公用经费总额/预算安排公用经费总额）×100%。</w:t>
            </w:r>
            <w:r>
              <w:rPr>
                <w:rFonts w:hint="eastAsia" w:ascii="仿宋" w:hAnsi="仿宋" w:eastAsia="仿宋" w:cs="仿宋"/>
                <w:kern w:val="0"/>
                <w:sz w:val="21"/>
                <w:szCs w:val="21"/>
              </w:rPr>
              <w:br w:type="textWrapping"/>
            </w:r>
            <w:r>
              <w:rPr>
                <w:rFonts w:hint="eastAsia" w:ascii="仿宋" w:hAnsi="仿宋" w:eastAsia="仿宋" w:cs="仿宋"/>
                <w:kern w:val="0"/>
                <w:sz w:val="21"/>
                <w:szCs w:val="21"/>
              </w:rPr>
              <w:t>公用经费支出是指部门基本支出中的一般商品和服务支出。</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8</w:t>
            </w:r>
          </w:p>
        </w:tc>
      </w:tr>
      <w:tr>
        <w:tblPrEx>
          <w:tblCellMar>
            <w:top w:w="0" w:type="dxa"/>
            <w:left w:w="108" w:type="dxa"/>
            <w:bottom w:w="0" w:type="dxa"/>
            <w:right w:w="108" w:type="dxa"/>
          </w:tblCellMar>
        </w:tblPrEx>
        <w:trPr>
          <w:trHeight w:val="1073"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7</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100%以下（含）计满分，每超出1%扣1分，扣完为止。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“三公经费”控制率-（“三公经费”实际支出数/“三公经费”预算安排数）×100%。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7</w:t>
            </w:r>
          </w:p>
        </w:tc>
      </w:tr>
      <w:tr>
        <w:tblPrEx>
          <w:tblCellMar>
            <w:top w:w="0" w:type="dxa"/>
            <w:left w:w="108" w:type="dxa"/>
            <w:bottom w:w="0" w:type="dxa"/>
            <w:right w:w="108" w:type="dxa"/>
          </w:tblCellMar>
        </w:tblPrEx>
        <w:trPr>
          <w:trHeight w:val="918"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政府采购执行率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100%计满分，每超过（降低）5%扣2分。扣完为止。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政府采购执行率=（实际政府采购金额/政府采购预算数）×100%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　</w:t>
            </w:r>
          </w:p>
        </w:tc>
      </w:tr>
      <w:tr>
        <w:tblPrEx>
          <w:tblCellMar>
            <w:top w:w="0" w:type="dxa"/>
            <w:left w:w="108" w:type="dxa"/>
            <w:bottom w:w="0" w:type="dxa"/>
            <w:right w:w="108" w:type="dxa"/>
          </w:tblCellMar>
        </w:tblPrEx>
        <w:trPr>
          <w:jc w:val="center"/>
        </w:trPr>
        <w:tc>
          <w:tcPr>
            <w:tcW w:w="354"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过                                                                                                                                       程</w:t>
            </w:r>
          </w:p>
        </w:tc>
        <w:tc>
          <w:tcPr>
            <w:tcW w:w="365" w:type="dxa"/>
            <w:vMerge w:val="restart"/>
            <w:tcBorders>
              <w:top w:val="nil"/>
              <w:left w:val="nil"/>
              <w:bottom w:val="single" w:color="000000"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预算管理</w:t>
            </w: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管理制度健全性</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604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①有内部财务管理制度、会计核算制度等管理制度，2分；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②有本部门厉行节约制度,2分；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③相关管理制度合法、合规、完整，2分；④相关管理制度得到有效执行，2分。</w:t>
            </w:r>
          </w:p>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8</w:t>
            </w:r>
          </w:p>
        </w:tc>
      </w:tr>
      <w:tr>
        <w:tblPrEx>
          <w:tblCellMar>
            <w:top w:w="0" w:type="dxa"/>
            <w:left w:w="108" w:type="dxa"/>
            <w:bottom w:w="0" w:type="dxa"/>
            <w:right w:w="108" w:type="dxa"/>
          </w:tblCellMar>
        </w:tblPrEx>
        <w:trPr>
          <w:trHeight w:val="1901"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资金使用合规性</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604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hint="eastAsia" w:ascii="仿宋" w:hAnsi="仿宋" w:eastAsia="仿宋" w:cs="仿宋"/>
                <w:kern w:val="0"/>
                <w:sz w:val="21"/>
                <w:szCs w:val="21"/>
              </w:rPr>
              <w:br w:type="textWrapping"/>
            </w:r>
            <w:r>
              <w:rPr>
                <w:rFonts w:hint="eastAsia" w:ascii="仿宋" w:hAnsi="仿宋" w:eastAsia="仿宋" w:cs="仿宋"/>
                <w:kern w:val="0"/>
                <w:sz w:val="21"/>
                <w:szCs w:val="21"/>
              </w:rPr>
              <w:t>以上情况每出现一例不符合要求的扣1分，扣完为止。</w:t>
            </w:r>
          </w:p>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6</w:t>
            </w:r>
          </w:p>
        </w:tc>
      </w:tr>
      <w:tr>
        <w:tblPrEx>
          <w:tblCellMar>
            <w:top w:w="0" w:type="dxa"/>
            <w:left w:w="108" w:type="dxa"/>
            <w:bottom w:w="0" w:type="dxa"/>
            <w:right w:w="108" w:type="dxa"/>
          </w:tblCellMar>
        </w:tblPrEx>
        <w:trPr>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预决算信息公开性</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预决算信息是指与部门预算、执行、决算、监督、绩效等管理相关的信息。</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tblPrEx>
          <w:tblCellMar>
            <w:top w:w="0" w:type="dxa"/>
            <w:left w:w="108" w:type="dxa"/>
            <w:bottom w:w="0" w:type="dxa"/>
            <w:right w:w="108" w:type="dxa"/>
          </w:tblCellMar>
        </w:tblPrEx>
        <w:trPr>
          <w:jc w:val="center"/>
        </w:trPr>
        <w:tc>
          <w:tcPr>
            <w:tcW w:w="354"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产出及效率</w:t>
            </w:r>
          </w:p>
        </w:tc>
        <w:tc>
          <w:tcPr>
            <w:tcW w:w="365"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30</w:t>
            </w:r>
          </w:p>
        </w:tc>
        <w:tc>
          <w:tcPr>
            <w:tcW w:w="36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职责履行</w:t>
            </w:r>
          </w:p>
        </w:tc>
        <w:tc>
          <w:tcPr>
            <w:tcW w:w="3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1044"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重点工作实际完成率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根据绩效办2021年对各部门为民办实事和部门重点工程与重点工作考核分数折算。</w:t>
            </w:r>
            <w:r>
              <w:rPr>
                <w:rFonts w:hint="eastAsia" w:ascii="仿宋" w:hAnsi="仿宋" w:eastAsia="仿宋" w:cs="仿宋"/>
                <w:kern w:val="0"/>
                <w:sz w:val="21"/>
                <w:szCs w:val="21"/>
              </w:rPr>
              <w:br w:type="textWrapping"/>
            </w:r>
            <w:r>
              <w:rPr>
                <w:rFonts w:hint="eastAsia" w:ascii="仿宋" w:hAnsi="仿宋" w:eastAsia="仿宋" w:cs="仿宋"/>
                <w:kern w:val="0"/>
                <w:sz w:val="21"/>
                <w:szCs w:val="21"/>
              </w:rPr>
              <w:t>该项得分=（绩效办对应部分考核得分/350）*8</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8</w:t>
            </w:r>
          </w:p>
        </w:tc>
      </w:tr>
      <w:tr>
        <w:tblPrEx>
          <w:tblCellMar>
            <w:top w:w="0" w:type="dxa"/>
            <w:left w:w="108" w:type="dxa"/>
            <w:bottom w:w="0" w:type="dxa"/>
            <w:right w:w="108" w:type="dxa"/>
          </w:tblCellMar>
        </w:tblPrEx>
        <w:trPr>
          <w:trHeight w:val="445"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履职 效益</w:t>
            </w: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10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经济效益</w:t>
            </w:r>
          </w:p>
        </w:tc>
        <w:tc>
          <w:tcPr>
            <w:tcW w:w="392" w:type="dxa"/>
            <w:vMerge w:val="restart"/>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6040" w:type="dxa"/>
            <w:gridSpan w:val="2"/>
            <w:vMerge w:val="restart"/>
            <w:tcBorders>
              <w:top w:val="nil"/>
              <w:left w:val="nil"/>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此两项指标为设置部门整体支出绩效评价指标时必须考虑的共性要素，可根据部门实际情况有选择的进行设置，并将其细化为相应的个性化指标。</w:t>
            </w:r>
          </w:p>
        </w:tc>
        <w:tc>
          <w:tcPr>
            <w:tcW w:w="306"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r>
      <w:tr>
        <w:tblPrEx>
          <w:tblCellMar>
            <w:top w:w="0" w:type="dxa"/>
            <w:left w:w="108" w:type="dxa"/>
            <w:bottom w:w="0" w:type="dxa"/>
            <w:right w:w="108" w:type="dxa"/>
          </w:tblCellMar>
        </w:tblPrEx>
        <w:trPr>
          <w:trHeight w:val="808"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社会效益</w:t>
            </w:r>
          </w:p>
        </w:tc>
        <w:tc>
          <w:tcPr>
            <w:tcW w:w="392"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6040" w:type="dxa"/>
            <w:gridSpan w:val="2"/>
            <w:vMerge w:val="continue"/>
            <w:tcBorders>
              <w:top w:val="nil"/>
              <w:left w:val="nil"/>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06" w:type="dxa"/>
            <w:vMerge w:val="continue"/>
            <w:tcBorders>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r>
      <w:tr>
        <w:tblPrEx>
          <w:tblCellMar>
            <w:top w:w="0" w:type="dxa"/>
            <w:left w:w="108" w:type="dxa"/>
            <w:bottom w:w="0" w:type="dxa"/>
            <w:right w:w="108" w:type="dxa"/>
          </w:tblCellMar>
        </w:tblPrEx>
        <w:trPr>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12</w:t>
            </w: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lang w:eastAsia="zh-CN"/>
              </w:rPr>
              <w:t>事业</w:t>
            </w:r>
            <w:r>
              <w:rPr>
                <w:rFonts w:hint="eastAsia" w:ascii="仿宋" w:hAnsi="仿宋" w:eastAsia="仿宋" w:cs="仿宋"/>
                <w:kern w:val="0"/>
                <w:sz w:val="21"/>
                <w:szCs w:val="21"/>
              </w:rPr>
              <w:t>效能</w:t>
            </w:r>
          </w:p>
        </w:tc>
        <w:tc>
          <w:tcPr>
            <w:tcW w:w="39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23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促进部门改进文风会风，加强经费及资产管理，推动网上办事，提高行政效率，降低行政成本效果较好的计6分；一般3分；无效果或者效果不明显0分。</w:t>
            </w:r>
          </w:p>
        </w:tc>
        <w:tc>
          <w:tcPr>
            <w:tcW w:w="280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根据部门自评材料评定。</w:t>
            </w:r>
          </w:p>
        </w:tc>
        <w:tc>
          <w:tcPr>
            <w:tcW w:w="30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r>
      <w:tr>
        <w:tblPrEx>
          <w:tblCellMar>
            <w:top w:w="0" w:type="dxa"/>
            <w:left w:w="108" w:type="dxa"/>
            <w:bottom w:w="0" w:type="dxa"/>
            <w:right w:w="108" w:type="dxa"/>
          </w:tblCellMar>
        </w:tblPrEx>
        <w:trPr>
          <w:trHeight w:val="1241" w:hRule="atLeast"/>
          <w:jc w:val="center"/>
        </w:trPr>
        <w:tc>
          <w:tcPr>
            <w:tcW w:w="354"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社会公众或服务对象满意度</w:t>
            </w:r>
          </w:p>
        </w:tc>
        <w:tc>
          <w:tcPr>
            <w:tcW w:w="39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23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90%（含）以上计6分；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80%（含）-90%，计4分；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70%（含）-80%，计2分；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低于70%计0分。</w:t>
            </w:r>
          </w:p>
        </w:tc>
        <w:tc>
          <w:tcPr>
            <w:tcW w:w="2808"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社会公众或服务对象是指部门（单位）履行职责而影响到的部门、群体或个人，一般采取社会调查的方式。</w:t>
            </w:r>
          </w:p>
        </w:tc>
        <w:tc>
          <w:tcPr>
            <w:tcW w:w="306"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　</w:t>
            </w:r>
          </w:p>
        </w:tc>
      </w:tr>
      <w:tr>
        <w:tblPrEx>
          <w:tblCellMar>
            <w:top w:w="0" w:type="dxa"/>
            <w:left w:w="108" w:type="dxa"/>
            <w:bottom w:w="0" w:type="dxa"/>
            <w:right w:w="108" w:type="dxa"/>
          </w:tblCellMar>
        </w:tblPrEx>
        <w:trPr>
          <w:trHeight w:val="90" w:hRule="atLeast"/>
          <w:jc w:val="center"/>
        </w:trPr>
        <w:tc>
          <w:tcPr>
            <w:tcW w:w="719"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合计</w:t>
            </w:r>
          </w:p>
        </w:tc>
        <w:tc>
          <w:tcPr>
            <w:tcW w:w="8529" w:type="dxa"/>
            <w:gridSpan w:val="7"/>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100分</w:t>
            </w:r>
          </w:p>
        </w:tc>
      </w:tr>
    </w:tbl>
    <w:p>
      <w:pPr>
        <w:keepNext w:val="0"/>
        <w:keepLines w:val="0"/>
        <w:pageBreakBefore w:val="0"/>
        <w:kinsoku/>
        <w:wordWrap/>
        <w:overflowPunct/>
        <w:topLinePunct w:val="0"/>
        <w:autoSpaceDE/>
        <w:autoSpaceDN/>
        <w:bidi w:val="0"/>
        <w:adjustRightInd/>
        <w:snapToGrid/>
        <w:spacing w:line="240" w:lineRule="atLeast"/>
        <w:ind w:left="0"/>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b/>
          <w:bCs/>
          <w:color w:val="0C0C0C" w:themeColor="text1" w:themeTint="F2"/>
          <w:sz w:val="44"/>
          <w:szCs w:val="44"/>
          <w:lang w:eastAsia="zh-CN"/>
        </w:rPr>
      </w:pPr>
      <w:r>
        <w:rPr>
          <w:rFonts w:hint="eastAsia"/>
          <w:b/>
          <w:bCs/>
          <w:color w:val="0C0C0C" w:themeColor="text1" w:themeTint="F2"/>
          <w:sz w:val="44"/>
          <w:szCs w:val="44"/>
          <w:lang w:val="en-US" w:eastAsia="zh-CN"/>
        </w:rPr>
        <w:t>2023年度上江圩镇中心幼儿园</w:t>
      </w:r>
      <w:r>
        <w:rPr>
          <w:rFonts w:hint="eastAsia"/>
          <w:b/>
          <w:bCs/>
          <w:color w:val="0C0C0C" w:themeColor="text1" w:themeTint="F2"/>
          <w:sz w:val="44"/>
          <w:szCs w:val="44"/>
        </w:rPr>
        <w:t>专项资金</w:t>
      </w: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color w:val="0C0C0C" w:themeColor="text1" w:themeTint="F2"/>
          <w:sz w:val="44"/>
          <w:szCs w:val="44"/>
          <w:lang w:val="en-US" w:eastAsia="zh-CN"/>
        </w:rPr>
      </w:pPr>
      <w:r>
        <w:rPr>
          <w:rFonts w:hint="eastAsia"/>
          <w:b/>
          <w:bCs/>
          <w:color w:val="0C0C0C" w:themeColor="text1" w:themeTint="F2"/>
          <w:sz w:val="44"/>
          <w:szCs w:val="44"/>
        </w:rPr>
        <w:t>绩效自评报告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按照</w:t>
      </w:r>
      <w:r>
        <w:rPr>
          <w:rFonts w:hint="eastAsia" w:eastAsia="仿宋" w:asciiTheme="minorAscii" w:hAnsiTheme="minorAscii"/>
          <w:color w:val="0C0C0C" w:themeColor="text1" w:themeTint="F2"/>
          <w:sz w:val="30"/>
          <w:szCs w:val="30"/>
          <w:lang w:eastAsia="zh-CN"/>
        </w:rPr>
        <w:t>上级</w:t>
      </w:r>
      <w:r>
        <w:rPr>
          <w:rFonts w:hint="default" w:eastAsia="仿宋" w:asciiTheme="minorAscii" w:hAnsiTheme="minorAscii"/>
          <w:color w:val="0C0C0C" w:themeColor="text1" w:themeTint="F2"/>
          <w:sz w:val="30"/>
          <w:szCs w:val="30"/>
        </w:rPr>
        <w:t>文件的要求，我</w:t>
      </w:r>
      <w:r>
        <w:rPr>
          <w:rFonts w:hint="eastAsia" w:eastAsia="仿宋" w:asciiTheme="minorAscii" w:hAnsiTheme="minorAscii"/>
          <w:color w:val="0C0C0C" w:themeColor="text1" w:themeTint="F2"/>
          <w:sz w:val="30"/>
          <w:szCs w:val="30"/>
          <w:lang w:eastAsia="zh-CN"/>
        </w:rPr>
        <w:t>园</w:t>
      </w:r>
      <w:r>
        <w:rPr>
          <w:rFonts w:hint="default" w:eastAsia="仿宋" w:asciiTheme="minorAscii" w:hAnsiTheme="minorAscii"/>
          <w:color w:val="0C0C0C" w:themeColor="text1" w:themeTint="F2"/>
          <w:sz w:val="30"/>
          <w:szCs w:val="30"/>
        </w:rPr>
        <w:t>对20</w:t>
      </w:r>
      <w:r>
        <w:rPr>
          <w:rFonts w:hint="eastAsia" w:eastAsia="仿宋" w:asciiTheme="minorAscii" w:hAnsiTheme="minorAscii"/>
          <w:color w:val="0C0C0C" w:themeColor="text1" w:themeTint="F2"/>
          <w:sz w:val="30"/>
          <w:szCs w:val="30"/>
          <w:lang w:val="en-US" w:eastAsia="zh-CN"/>
        </w:rPr>
        <w:t>23</w:t>
      </w:r>
      <w:r>
        <w:rPr>
          <w:rFonts w:hint="default" w:eastAsia="仿宋" w:asciiTheme="minorAscii" w:hAnsiTheme="minorAscii"/>
          <w:color w:val="0C0C0C" w:themeColor="text1" w:themeTint="F2"/>
          <w:sz w:val="30"/>
          <w:szCs w:val="30"/>
        </w:rPr>
        <w:t>年</w:t>
      </w:r>
      <w:r>
        <w:rPr>
          <w:rFonts w:hint="eastAsia" w:eastAsia="仿宋" w:asciiTheme="minorAscii" w:hAnsiTheme="minorAscii"/>
          <w:color w:val="0C0C0C" w:themeColor="text1" w:themeTint="F2"/>
          <w:sz w:val="30"/>
          <w:szCs w:val="30"/>
          <w:lang w:eastAsia="zh-CN"/>
        </w:rPr>
        <w:t>县财政</w:t>
      </w:r>
      <w:r>
        <w:rPr>
          <w:rFonts w:hint="default" w:eastAsia="仿宋" w:asciiTheme="minorAscii" w:hAnsiTheme="minorAscii"/>
          <w:color w:val="0C0C0C" w:themeColor="text1" w:themeTint="F2"/>
          <w:sz w:val="30"/>
          <w:szCs w:val="30"/>
        </w:rPr>
        <w:t>部门下拨的财政扶持</w:t>
      </w:r>
      <w:r>
        <w:rPr>
          <w:rFonts w:hint="eastAsia" w:eastAsia="仿宋" w:asciiTheme="minorAscii" w:hAnsiTheme="minorAscii"/>
          <w:color w:val="0C0C0C" w:themeColor="text1" w:themeTint="F2"/>
          <w:sz w:val="30"/>
          <w:szCs w:val="30"/>
          <w:lang w:eastAsia="zh-CN"/>
        </w:rPr>
        <w:t>幼儿园</w:t>
      </w:r>
      <w:r>
        <w:rPr>
          <w:rFonts w:hint="default" w:eastAsia="仿宋" w:asciiTheme="minorAscii" w:hAnsiTheme="minorAscii"/>
          <w:color w:val="0C0C0C" w:themeColor="text1" w:themeTint="F2"/>
          <w:sz w:val="30"/>
          <w:szCs w:val="30"/>
        </w:rPr>
        <w:t>专项资金的使用情况和达到的效果进行了认真的自查，现将自查情况报告如下：</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黑体" w:hAnsi="黑体" w:eastAsia="黑体" w:cs="黑体"/>
          <w:color w:val="0C0C0C" w:themeColor="text1" w:themeTint="F2"/>
          <w:sz w:val="30"/>
          <w:szCs w:val="30"/>
        </w:rPr>
      </w:pPr>
      <w:r>
        <w:rPr>
          <w:rFonts w:hint="eastAsia" w:ascii="黑体" w:hAnsi="黑体" w:eastAsia="黑体" w:cs="黑体"/>
          <w:color w:val="0C0C0C" w:themeColor="text1" w:themeTint="F2"/>
          <w:sz w:val="30"/>
          <w:szCs w:val="30"/>
        </w:rPr>
        <w:t>一、基本情况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为了保障</w:t>
      </w:r>
      <w:r>
        <w:rPr>
          <w:rFonts w:hint="eastAsia" w:eastAsia="仿宋" w:asciiTheme="minorAscii" w:hAnsiTheme="minorAscii"/>
          <w:color w:val="0C0C0C" w:themeColor="text1" w:themeTint="F2"/>
          <w:sz w:val="30"/>
          <w:szCs w:val="30"/>
          <w:lang w:eastAsia="zh-CN"/>
        </w:rPr>
        <w:t>幼儿园</w:t>
      </w:r>
      <w:r>
        <w:rPr>
          <w:rFonts w:hint="default" w:eastAsia="仿宋" w:asciiTheme="minorAscii" w:hAnsiTheme="minorAscii"/>
          <w:color w:val="0C0C0C" w:themeColor="text1" w:themeTint="F2"/>
          <w:sz w:val="30"/>
          <w:szCs w:val="30"/>
        </w:rPr>
        <w:t>事业发展的需要，20</w:t>
      </w:r>
      <w:r>
        <w:rPr>
          <w:rFonts w:hint="eastAsia" w:eastAsia="仿宋" w:asciiTheme="minorAscii" w:hAnsiTheme="minorAscii"/>
          <w:color w:val="0C0C0C" w:themeColor="text1" w:themeTint="F2"/>
          <w:sz w:val="30"/>
          <w:szCs w:val="30"/>
          <w:lang w:val="en-US" w:eastAsia="zh-CN"/>
        </w:rPr>
        <w:t>23</w:t>
      </w:r>
      <w:r>
        <w:rPr>
          <w:rFonts w:hint="default" w:eastAsia="仿宋" w:asciiTheme="minorAscii" w:hAnsiTheme="minorAscii"/>
          <w:color w:val="0C0C0C" w:themeColor="text1" w:themeTint="F2"/>
          <w:sz w:val="30"/>
          <w:szCs w:val="30"/>
        </w:rPr>
        <w:t>年财政安排</w:t>
      </w:r>
      <w:r>
        <w:rPr>
          <w:rFonts w:hint="eastAsia" w:eastAsia="仿宋" w:asciiTheme="minorAscii" w:hAnsiTheme="minorAscii"/>
          <w:color w:val="0C0C0C" w:themeColor="text1" w:themeTint="F2"/>
          <w:sz w:val="30"/>
          <w:szCs w:val="30"/>
          <w:lang w:eastAsia="zh-CN"/>
        </w:rPr>
        <w:t>专项经费支出</w:t>
      </w:r>
      <w:r>
        <w:rPr>
          <w:rFonts w:hint="eastAsia" w:eastAsia="仿宋" w:asciiTheme="minorAscii" w:hAnsiTheme="minorAscii"/>
          <w:color w:val="0C0C0C" w:themeColor="text1" w:themeTint="F2"/>
          <w:sz w:val="30"/>
          <w:szCs w:val="30"/>
          <w:lang w:val="en-US" w:eastAsia="zh-CN"/>
        </w:rPr>
        <w:t>27.12</w:t>
      </w:r>
      <w:r>
        <w:rPr>
          <w:rFonts w:hint="default" w:eastAsia="仿宋" w:asciiTheme="minorAscii" w:hAnsiTheme="minorAscii"/>
          <w:color w:val="0C0C0C" w:themeColor="text1" w:themeTint="F2"/>
          <w:sz w:val="30"/>
          <w:szCs w:val="30"/>
        </w:rPr>
        <w:t>万元，具体项目情况如下：</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1、教师津贴补贴福利14.96万元，用于提高农村基层教师</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待遇，幼儿园实际支出14.96万元。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2、教师伙食补助1.56万元，提高教师生活水平，幼儿园实</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际支出1.56 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3、工会经费2.7万元，幼儿园实际支出2.7 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4、学生资助2.6万元，帮助贫困幼儿家庭。</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5、办公费、电费及委托业务费5.3万元。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ascii="黑体" w:hAnsi="黑体" w:eastAsia="黑体" w:cs="黑体"/>
          <w:color w:val="0C0C0C" w:themeColor="text1" w:themeTint="F2"/>
          <w:sz w:val="30"/>
          <w:szCs w:val="30"/>
        </w:rPr>
      </w:pPr>
      <w:r>
        <w:rPr>
          <w:rFonts w:hint="default" w:ascii="黑体" w:hAnsi="黑体" w:eastAsia="黑体" w:cs="黑体"/>
          <w:color w:val="0C0C0C" w:themeColor="text1" w:themeTint="F2"/>
          <w:sz w:val="30"/>
          <w:szCs w:val="30"/>
        </w:rPr>
        <w:t>二、经费全部拔付到账。</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专项资金综合使用情况及绩效评估主要体现在以下几方面：</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 xml:space="preserve">1、项目经费按照项目实施进度安排，按时足额到位。未出现截留、挤占、挪用等现象。 </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2、经费到达后，我</w:t>
      </w:r>
      <w:r>
        <w:rPr>
          <w:rFonts w:hint="eastAsia" w:eastAsia="仿宋" w:asciiTheme="minorAscii" w:hAnsiTheme="minorAscii"/>
          <w:color w:val="0C0C0C" w:themeColor="text1" w:themeTint="F2"/>
          <w:sz w:val="30"/>
          <w:szCs w:val="30"/>
          <w:lang w:eastAsia="zh-CN"/>
        </w:rPr>
        <w:t>园</w:t>
      </w:r>
      <w:r>
        <w:rPr>
          <w:rFonts w:hint="default" w:eastAsia="仿宋" w:asciiTheme="minorAscii" w:hAnsiTheme="minorAscii"/>
          <w:color w:val="0C0C0C" w:themeColor="text1" w:themeTint="F2"/>
          <w:sz w:val="30"/>
          <w:szCs w:val="30"/>
        </w:rPr>
        <w:t>严格按项目计划和规定用途专款专用；建立健全会计核算制度，专项核算财政扶持</w:t>
      </w:r>
      <w:r>
        <w:rPr>
          <w:rFonts w:hint="eastAsia" w:eastAsia="仿宋" w:asciiTheme="minorAscii" w:hAnsiTheme="minorAscii"/>
          <w:color w:val="0C0C0C" w:themeColor="text1" w:themeTint="F2"/>
          <w:sz w:val="30"/>
          <w:szCs w:val="30"/>
          <w:lang w:eastAsia="zh-CN"/>
        </w:rPr>
        <w:t>幼儿园</w:t>
      </w:r>
      <w:r>
        <w:rPr>
          <w:rFonts w:hint="default" w:eastAsia="仿宋" w:asciiTheme="minorAscii" w:hAnsiTheme="minorAscii"/>
          <w:color w:val="0C0C0C" w:themeColor="text1" w:themeTint="F2"/>
          <w:sz w:val="30"/>
          <w:szCs w:val="30"/>
        </w:rPr>
        <w:t>发展专项资金的使用情况。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3、我</w:t>
      </w:r>
      <w:r>
        <w:rPr>
          <w:rFonts w:hint="eastAsia" w:eastAsia="仿宋" w:asciiTheme="minorAscii" w:hAnsiTheme="minorAscii"/>
          <w:color w:val="0C0C0C" w:themeColor="text1" w:themeTint="F2"/>
          <w:sz w:val="30"/>
          <w:szCs w:val="30"/>
          <w:lang w:eastAsia="zh-CN"/>
        </w:rPr>
        <w:t>园</w:t>
      </w:r>
      <w:r>
        <w:rPr>
          <w:rFonts w:hint="default" w:eastAsia="仿宋" w:asciiTheme="minorAscii" w:hAnsiTheme="minorAscii"/>
          <w:color w:val="0C0C0C" w:themeColor="text1" w:themeTint="F2"/>
          <w:sz w:val="30"/>
          <w:szCs w:val="30"/>
        </w:rPr>
        <w:t>定期向主管部门汇报项目进展与专项资金核算使用情况。项目按照序时进度进行，未出现项目滞后情况。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4、</w:t>
      </w:r>
      <w:r>
        <w:rPr>
          <w:rFonts w:hint="eastAsia" w:eastAsia="仿宋" w:asciiTheme="minorAscii" w:hAnsiTheme="minorAscii"/>
          <w:color w:val="0C0C0C" w:themeColor="text1" w:themeTint="F2"/>
          <w:sz w:val="30"/>
          <w:szCs w:val="30"/>
          <w:lang w:eastAsia="zh-CN"/>
        </w:rPr>
        <w:t>项目经费主要用于改善幼儿园办学条件以及幼儿园正常运转等</w:t>
      </w:r>
      <w:r>
        <w:rPr>
          <w:rFonts w:hint="default" w:eastAsia="仿宋" w:asciiTheme="minorAscii" w:hAnsiTheme="minorAscii"/>
          <w:color w:val="0C0C0C" w:themeColor="text1" w:themeTint="F2"/>
          <w:sz w:val="30"/>
          <w:szCs w:val="30"/>
        </w:rPr>
        <w:t>。</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5、所有申报项目的实施都已按照预定目标快速、高效组织实施并取得较好的效益。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黑体" w:hAnsi="黑体" w:eastAsia="黑体" w:cs="黑体"/>
          <w:color w:val="0C0C0C" w:themeColor="text1" w:themeTint="F2"/>
          <w:sz w:val="30"/>
          <w:szCs w:val="30"/>
        </w:rPr>
      </w:pPr>
      <w:r>
        <w:rPr>
          <w:rFonts w:hint="default" w:ascii="黑体" w:hAnsi="黑体" w:eastAsia="黑体" w:cs="黑体"/>
          <w:color w:val="0C0C0C" w:themeColor="text1" w:themeTint="F2"/>
          <w:sz w:val="30"/>
          <w:szCs w:val="30"/>
        </w:rPr>
        <w:t>三、</w:t>
      </w:r>
      <w:r>
        <w:rPr>
          <w:rFonts w:hint="eastAsia" w:ascii="黑体" w:hAnsi="黑体" w:eastAsia="黑体" w:cs="黑体"/>
          <w:color w:val="0C0C0C" w:themeColor="text1" w:themeTint="F2"/>
          <w:sz w:val="30"/>
          <w:szCs w:val="30"/>
        </w:rPr>
        <w:t>意见和建议</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color w:val="0C0C0C" w:themeColor="text1" w:themeTint="F2"/>
          <w:sz w:val="30"/>
          <w:szCs w:val="30"/>
        </w:rPr>
      </w:pPr>
      <w:r>
        <w:rPr>
          <w:rFonts w:hint="eastAsia" w:eastAsia="仿宋" w:asciiTheme="minorAscii" w:hAnsiTheme="minorAscii"/>
          <w:b/>
          <w:bCs/>
          <w:color w:val="0C0C0C" w:themeColor="text1" w:themeTint="F2"/>
          <w:sz w:val="30"/>
          <w:szCs w:val="30"/>
        </w:rPr>
        <w:t>（一）坚持教育优先发展，继续加大教育投入。</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color w:val="0C0C0C" w:themeColor="text1" w:themeTint="F2"/>
          <w:sz w:val="30"/>
          <w:szCs w:val="30"/>
        </w:rPr>
      </w:pPr>
      <w:r>
        <w:rPr>
          <w:rFonts w:hint="eastAsia" w:eastAsia="仿宋" w:asciiTheme="minorAscii" w:hAnsiTheme="minorAscii"/>
          <w:color w:val="0C0C0C" w:themeColor="text1" w:themeTint="F2"/>
          <w:sz w:val="30"/>
          <w:szCs w:val="30"/>
        </w:rPr>
        <w:t>要坚定不移把教育工作摆在优先发展的战略地位，按照＂三个优先＂的要求，进一步贯彻落实国家、省、市有关教育经费投入政策，认真履行政府职责，落实教育经费相关政策，坚持教育经费向薄弱环节和关键领域倾斜，促进教育事业的快速发展。</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color w:val="0C0C0C" w:themeColor="text1" w:themeTint="F2"/>
          <w:sz w:val="30"/>
          <w:szCs w:val="30"/>
        </w:rPr>
      </w:pPr>
      <w:r>
        <w:rPr>
          <w:rFonts w:hint="eastAsia" w:eastAsia="仿宋" w:asciiTheme="minorAscii" w:hAnsiTheme="minorAscii"/>
          <w:b/>
          <w:bCs/>
          <w:color w:val="0C0C0C" w:themeColor="text1" w:themeTint="F2"/>
          <w:sz w:val="30"/>
          <w:szCs w:val="30"/>
        </w:rPr>
        <w:t>（二）强化监督管理，提高经费使用效益。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color w:val="0C0C0C" w:themeColor="text1" w:themeTint="F2"/>
          <w:sz w:val="30"/>
          <w:szCs w:val="30"/>
        </w:rPr>
      </w:pPr>
      <w:r>
        <w:rPr>
          <w:rFonts w:hint="eastAsia" w:eastAsia="仿宋" w:asciiTheme="minorAscii" w:hAnsiTheme="minorAscii"/>
          <w:color w:val="0C0C0C" w:themeColor="text1" w:themeTint="F2"/>
          <w:sz w:val="30"/>
          <w:szCs w:val="30"/>
        </w:rPr>
        <w:t>一是经常开展</w:t>
      </w:r>
      <w:r>
        <w:rPr>
          <w:rFonts w:hint="eastAsia" w:eastAsia="仿宋" w:asciiTheme="minorAscii" w:hAnsiTheme="minorAscii"/>
          <w:color w:val="0C0C0C" w:themeColor="text1" w:themeTint="F2"/>
          <w:sz w:val="30"/>
          <w:szCs w:val="30"/>
          <w:lang w:eastAsia="zh-CN"/>
        </w:rPr>
        <w:t>幼儿园</w:t>
      </w:r>
      <w:r>
        <w:rPr>
          <w:rFonts w:hint="eastAsia" w:eastAsia="仿宋" w:asciiTheme="minorAscii" w:hAnsiTheme="minorAscii"/>
          <w:color w:val="0C0C0C" w:themeColor="text1" w:themeTint="F2"/>
          <w:sz w:val="30"/>
          <w:szCs w:val="30"/>
        </w:rPr>
        <w:t>的专项督查，提高经费使用效益。二是建立健全绩效评价考核机制。逐步建立起以强化资金使用效益为核心的教育经费投入和使用绩效评价体系，对</w:t>
      </w:r>
      <w:r>
        <w:rPr>
          <w:rFonts w:hint="eastAsia" w:eastAsia="仿宋" w:asciiTheme="minorAscii" w:hAnsiTheme="minorAscii"/>
          <w:color w:val="0C0C0C" w:themeColor="text1" w:themeTint="F2"/>
          <w:sz w:val="30"/>
          <w:szCs w:val="30"/>
          <w:lang w:eastAsia="zh-CN"/>
        </w:rPr>
        <w:t>幼儿园</w:t>
      </w:r>
      <w:r>
        <w:rPr>
          <w:rFonts w:hint="eastAsia" w:eastAsia="仿宋" w:asciiTheme="minorAscii" w:hAnsiTheme="minorAscii"/>
          <w:color w:val="0C0C0C" w:themeColor="text1" w:themeTint="F2"/>
          <w:sz w:val="30"/>
          <w:szCs w:val="30"/>
        </w:rPr>
        <w:t>教育投入使用情况进行动态监测、分析评价和综合考核，考核评价结果作为资金分配、工作考评和表彰奖励的重要依据。三是推进阳光财务。教育经费的安排使用，坚持科学配置，阳光操作，提升使用的公开透明度。四是确保专款专用。在使用管理中，制定专项资金管理办法，严禁截留、挤占、挪用专项资金。五是加快项目工程进度，重视质量监管，让资金尽快变为改善办学条件的社会效益。</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color w:val="0C0C0C" w:themeColor="text1" w:themeTint="F2"/>
          <w:sz w:val="30"/>
          <w:szCs w:val="30"/>
        </w:rPr>
      </w:pPr>
      <w:r>
        <w:rPr>
          <w:rFonts w:hint="eastAsia" w:eastAsia="仿宋" w:asciiTheme="minorAscii" w:hAnsiTheme="minorAscii"/>
          <w:b/>
          <w:bCs/>
          <w:color w:val="0C0C0C" w:themeColor="text1" w:themeTint="F2"/>
          <w:sz w:val="30"/>
          <w:szCs w:val="30"/>
        </w:rPr>
        <w:t>（三）加强财会队伍建设，提高财务管理能力。</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eastAsia" w:eastAsia="仿宋" w:asciiTheme="minorAscii" w:hAnsiTheme="minorAscii"/>
          <w:color w:val="0C0C0C" w:themeColor="text1" w:themeTint="F2"/>
          <w:sz w:val="30"/>
          <w:szCs w:val="30"/>
        </w:rPr>
        <w:t>一是增加</w:t>
      </w:r>
      <w:r>
        <w:rPr>
          <w:rFonts w:hint="eastAsia" w:eastAsia="仿宋" w:asciiTheme="minorAscii" w:hAnsiTheme="minorAscii"/>
          <w:color w:val="0C0C0C" w:themeColor="text1" w:themeTint="F2"/>
          <w:sz w:val="30"/>
          <w:szCs w:val="30"/>
          <w:lang w:eastAsia="zh-CN"/>
        </w:rPr>
        <w:t>幼儿园</w:t>
      </w:r>
      <w:r>
        <w:rPr>
          <w:rFonts w:hint="eastAsia" w:eastAsia="仿宋" w:asciiTheme="minorAscii" w:hAnsiTheme="minorAscii"/>
          <w:color w:val="0C0C0C" w:themeColor="text1" w:themeTint="F2"/>
          <w:sz w:val="30"/>
          <w:szCs w:val="30"/>
        </w:rPr>
        <w:t>财会人员编制，逐步消除过去会计人员无证上岗和有证不专的现象；二是加大财务人员的培训力度，提高业务水平，进一步规范</w:t>
      </w:r>
      <w:r>
        <w:rPr>
          <w:rFonts w:hint="eastAsia" w:eastAsia="仿宋" w:asciiTheme="minorAscii" w:hAnsiTheme="minorAscii"/>
          <w:color w:val="0C0C0C" w:themeColor="text1" w:themeTint="F2"/>
          <w:sz w:val="30"/>
          <w:szCs w:val="30"/>
          <w:lang w:eastAsia="zh-CN"/>
        </w:rPr>
        <w:t>幼儿园</w:t>
      </w:r>
      <w:r>
        <w:rPr>
          <w:rFonts w:hint="eastAsia" w:eastAsia="仿宋" w:asciiTheme="minorAscii" w:hAnsiTheme="minorAscii"/>
          <w:color w:val="0C0C0C" w:themeColor="text1" w:themeTint="F2"/>
          <w:sz w:val="30"/>
          <w:szCs w:val="30"/>
        </w:rPr>
        <w:t>资金的管理和使用操作程序，最大限度地发挥教育资金使用效率。</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36"/>
          <w:szCs w:val="36"/>
        </w:rPr>
      </w:pPr>
      <w:r>
        <w:rPr>
          <w:rFonts w:hint="eastAsia" w:ascii="微软雅黑" w:hAnsi="微软雅黑" w:eastAsia="微软雅黑" w:cs="微软雅黑"/>
          <w:i w:val="0"/>
          <w:iCs w:val="0"/>
          <w:color w:val="000000"/>
          <w:kern w:val="0"/>
          <w:sz w:val="36"/>
          <w:szCs w:val="36"/>
          <w:u w:val="none"/>
          <w:lang w:val="en-US" w:eastAsia="zh-CN" w:bidi="ar"/>
        </w:rPr>
        <w:t>教育事业发展经费</w:t>
      </w:r>
      <w:r>
        <w:rPr>
          <w:rFonts w:eastAsia="方正小标宋_GBK"/>
          <w:color w:val="000000"/>
          <w:kern w:val="0"/>
          <w:sz w:val="36"/>
          <w:szCs w:val="36"/>
        </w:rPr>
        <w:t>项目支出绩效自评表</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default" w:eastAsia="仿宋" w:asciiTheme="minorAscii" w:hAnsiTheme="minorAscii"/>
          <w:sz w:val="20"/>
          <w:szCs w:val="20"/>
        </w:rPr>
      </w:pPr>
    </w:p>
    <w:tbl>
      <w:tblPr>
        <w:tblStyle w:val="5"/>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1"/>
        <w:gridCol w:w="402"/>
        <w:gridCol w:w="978"/>
        <w:gridCol w:w="2244"/>
        <w:gridCol w:w="1494"/>
        <w:gridCol w:w="1038"/>
        <w:gridCol w:w="552"/>
        <w:gridCol w:w="816"/>
        <w:gridCol w:w="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851"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项目支出名称</w:t>
            </w:r>
          </w:p>
        </w:tc>
        <w:tc>
          <w:tcPr>
            <w:tcW w:w="8307" w:type="dxa"/>
            <w:gridSpan w:val="8"/>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教育事业发展经费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18"/>
                <w:szCs w:val="18"/>
                <w:u w:val="none"/>
              </w:rPr>
            </w:pPr>
          </w:p>
        </w:tc>
        <w:tc>
          <w:tcPr>
            <w:tcW w:w="8307" w:type="dxa"/>
            <w:gridSpan w:val="8"/>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主管部门</w:t>
            </w:r>
          </w:p>
        </w:tc>
        <w:tc>
          <w:tcPr>
            <w:tcW w:w="5118" w:type="dxa"/>
            <w:gridSpan w:val="4"/>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实施单位</w:t>
            </w:r>
          </w:p>
        </w:tc>
        <w:tc>
          <w:tcPr>
            <w:tcW w:w="2151" w:type="dxa"/>
            <w:gridSpan w:val="3"/>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江永县上江圩镇中心幼儿园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51"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项目资金(万元)</w:t>
            </w:r>
          </w:p>
        </w:tc>
        <w:tc>
          <w:tcPr>
            <w:tcW w:w="1380" w:type="dxa"/>
            <w:gridSpan w:val="2"/>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 xml:space="preserve">     资金来源</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年初预算数</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全年预算数</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全年执行数</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分值</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执行率</w:t>
            </w:r>
          </w:p>
        </w:tc>
        <w:tc>
          <w:tcPr>
            <w:tcW w:w="78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1380" w:type="dxa"/>
            <w:gridSpan w:val="2"/>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其中:当年财政拨款</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27.12</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27.12</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78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1380" w:type="dxa"/>
            <w:gridSpan w:val="2"/>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上年结转金额</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0</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78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1380" w:type="dxa"/>
            <w:gridSpan w:val="2"/>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其它资金</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0</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78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1380" w:type="dxa"/>
            <w:gridSpan w:val="2"/>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年度资金总额</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27.12</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27.12</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100.00%</w:t>
            </w:r>
          </w:p>
        </w:tc>
        <w:tc>
          <w:tcPr>
            <w:tcW w:w="78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851"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年度总体目标</w:t>
            </w:r>
          </w:p>
        </w:tc>
        <w:tc>
          <w:tcPr>
            <w:tcW w:w="5118" w:type="dxa"/>
            <w:gridSpan w:val="4"/>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预期目标</w:t>
            </w:r>
          </w:p>
        </w:tc>
        <w:tc>
          <w:tcPr>
            <w:tcW w:w="3189" w:type="dxa"/>
            <w:gridSpan w:val="4"/>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5118" w:type="dxa"/>
            <w:gridSpan w:val="4"/>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1.发放教师津贴补贴奖金福利费14.96万元，2.教职工伙食补助1.56万元，3.工会经费2.7万元，4.学生助学金2.6万元，4.办公费、电费及委托业务费5.3万元。</w:t>
            </w:r>
          </w:p>
        </w:tc>
        <w:tc>
          <w:tcPr>
            <w:tcW w:w="3189" w:type="dxa"/>
            <w:gridSpan w:val="4"/>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51"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绩效指标</w:t>
            </w:r>
          </w:p>
        </w:tc>
        <w:tc>
          <w:tcPr>
            <w:tcW w:w="40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一级指标</w:t>
            </w: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二级指标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三级指标</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年度指标值</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实际完成值</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分值</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得分</w:t>
            </w:r>
          </w:p>
        </w:tc>
        <w:tc>
          <w:tcPr>
            <w:tcW w:w="78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402"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产出指标</w:t>
            </w:r>
          </w:p>
        </w:tc>
        <w:tc>
          <w:tcPr>
            <w:tcW w:w="978"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数量指标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津贴补贴奖金人数</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10人</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10人</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伙食补助人数</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22人</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22人</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工会经费人数</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22人</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22人</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978"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助学金人数</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66人</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66人</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办公费、电费及委托业务费</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267人</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267人</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质量指标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津贴补贴奖金完成率</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伙食补助完成率</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 xml:space="preserve">100% </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工会经费完成率</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助学金准确率</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办公费、电费及委托业务费</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时效指标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完成时间</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2023年内</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2023年内</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10.00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效益指标</w:t>
            </w: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经济效益指标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提高教师生活水平</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提高教师生活水平</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提高教师生活水平</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5</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5.00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社会效益指标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促进幼儿园教育教学工作全面发展</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促进幼儿园教育教学工作全面发展</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促进幼儿园教育教学工作全面发展</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5</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5.00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生态效益指标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学生入学数量增长率</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0%</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0%</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5</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5.00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可持续影响指标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可持续影响</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可持续</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可持续</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满意度指标</w:t>
            </w: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服务对象满意度指标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受益群体满意度</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成本指标</w:t>
            </w: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经济成本指标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预算执行数</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27.12万元</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27.12万元</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社会成本指标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资金使用合规性</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合规</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合规</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生态环境成本指标</w:t>
            </w:r>
          </w:p>
        </w:tc>
        <w:tc>
          <w:tcPr>
            <w:tcW w:w="224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微软雅黑" w:hAnsi="微软雅黑" w:eastAsia="微软雅黑" w:cs="微软雅黑"/>
                <w:i w:val="0"/>
                <w:iCs w:val="0"/>
                <w:color w:val="000000"/>
                <w:sz w:val="18"/>
                <w:szCs w:val="18"/>
                <w:u w:val="none"/>
              </w:rPr>
            </w:pPr>
          </w:p>
        </w:tc>
        <w:tc>
          <w:tcPr>
            <w:tcW w:w="149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1038"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55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81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7007" w:type="dxa"/>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总分</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bl>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32"/>
          <w:szCs w:val="32"/>
        </w:rPr>
      </w:pPr>
      <w:r>
        <w:rPr>
          <w:rFonts w:hint="eastAsia" w:ascii="黑体" w:hAnsi="黑体" w:eastAsia="黑体"/>
          <w:kern w:val="0"/>
          <w:sz w:val="32"/>
          <w:szCs w:val="32"/>
          <w:lang w:eastAsia="zh-CN"/>
        </w:rPr>
        <w:t>上江圩镇中心幼儿园</w:t>
      </w:r>
      <w:r>
        <w:rPr>
          <w:rFonts w:ascii="黑体" w:hAnsi="黑体" w:eastAsia="黑体"/>
          <w:kern w:val="0"/>
          <w:sz w:val="32"/>
          <w:szCs w:val="32"/>
        </w:rPr>
        <w:t>专项（项目）资金绩效评价表</w:t>
      </w:r>
    </w:p>
    <w:tbl>
      <w:tblPr>
        <w:tblStyle w:val="5"/>
        <w:tblW w:w="9140" w:type="dxa"/>
        <w:jc w:val="center"/>
        <w:tblLayout w:type="fixed"/>
        <w:tblCellMar>
          <w:top w:w="0" w:type="dxa"/>
          <w:left w:w="108" w:type="dxa"/>
          <w:bottom w:w="0" w:type="dxa"/>
          <w:right w:w="108" w:type="dxa"/>
        </w:tblCellMar>
      </w:tblPr>
      <w:tblGrid>
        <w:gridCol w:w="630"/>
        <w:gridCol w:w="673"/>
        <w:gridCol w:w="959"/>
        <w:gridCol w:w="2458"/>
        <w:gridCol w:w="4062"/>
        <w:gridCol w:w="358"/>
      </w:tblGrid>
      <w:tr>
        <w:tblPrEx>
          <w:tblCellMar>
            <w:top w:w="0" w:type="dxa"/>
            <w:left w:w="108" w:type="dxa"/>
            <w:bottom w:w="0" w:type="dxa"/>
            <w:right w:w="108" w:type="dxa"/>
          </w:tblCellMar>
        </w:tblPrEx>
        <w:trPr>
          <w:jc w:val="center"/>
        </w:trPr>
        <w:tc>
          <w:tcPr>
            <w:tcW w:w="630" w:type="dxa"/>
            <w:tcBorders>
              <w:top w:val="single" w:color="auto" w:sz="4" w:space="0"/>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一级</w:t>
            </w:r>
          </w:p>
        </w:tc>
        <w:tc>
          <w:tcPr>
            <w:tcW w:w="673" w:type="dxa"/>
            <w:tcBorders>
              <w:top w:val="single" w:color="auto" w:sz="4" w:space="0"/>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二级</w:t>
            </w:r>
          </w:p>
        </w:tc>
        <w:tc>
          <w:tcPr>
            <w:tcW w:w="959" w:type="dxa"/>
            <w:vMerge w:val="restart"/>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三级指标</w:t>
            </w:r>
          </w:p>
        </w:tc>
        <w:tc>
          <w:tcPr>
            <w:tcW w:w="2458" w:type="dxa"/>
            <w:vMerge w:val="restart"/>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指标解释</w:t>
            </w:r>
          </w:p>
        </w:tc>
        <w:tc>
          <w:tcPr>
            <w:tcW w:w="4062" w:type="dxa"/>
            <w:vMerge w:val="restart"/>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指标说明</w:t>
            </w:r>
          </w:p>
        </w:tc>
        <w:tc>
          <w:tcPr>
            <w:tcW w:w="358" w:type="dxa"/>
            <w:vMerge w:val="restart"/>
            <w:tcBorders>
              <w:top w:val="single" w:color="auto" w:sz="4" w:space="0"/>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b/>
                <w:bCs/>
                <w:color w:val="000000"/>
                <w:kern w:val="0"/>
                <w:sz w:val="20"/>
                <w:szCs w:val="20"/>
              </w:rPr>
              <w:t>得分</w:t>
            </w:r>
          </w:p>
        </w:tc>
      </w:tr>
      <w:tr>
        <w:tblPrEx>
          <w:tblCellMar>
            <w:top w:w="0" w:type="dxa"/>
            <w:left w:w="108" w:type="dxa"/>
            <w:bottom w:w="0" w:type="dxa"/>
            <w:right w:w="108" w:type="dxa"/>
          </w:tblCellMar>
        </w:tblPrEx>
        <w:trPr>
          <w:trHeight w:val="452" w:hRule="atLeast"/>
          <w:jc w:val="center"/>
        </w:trPr>
        <w:tc>
          <w:tcPr>
            <w:tcW w:w="63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w:t>
            </w:r>
          </w:p>
        </w:tc>
        <w:tc>
          <w:tcPr>
            <w:tcW w:w="6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w:t>
            </w:r>
          </w:p>
        </w:tc>
        <w:tc>
          <w:tcPr>
            <w:tcW w:w="959" w:type="dxa"/>
            <w:vMerge w:val="continue"/>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c>
          <w:tcPr>
            <w:tcW w:w="2458" w:type="dxa"/>
            <w:vMerge w:val="continue"/>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c>
          <w:tcPr>
            <w:tcW w:w="4062" w:type="dxa"/>
            <w:vMerge w:val="continue"/>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c>
          <w:tcPr>
            <w:tcW w:w="358" w:type="dxa"/>
            <w:vMerge w:val="continue"/>
            <w:tcBorders>
              <w:top w:val="single" w:color="auto" w:sz="4" w:space="0"/>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r>
      <w:tr>
        <w:tblPrEx>
          <w:tblCellMar>
            <w:top w:w="0" w:type="dxa"/>
            <w:left w:w="108" w:type="dxa"/>
            <w:bottom w:w="0" w:type="dxa"/>
            <w:right w:w="108" w:type="dxa"/>
          </w:tblCellMar>
        </w:tblPrEx>
        <w:trPr>
          <w:jc w:val="center"/>
        </w:trPr>
        <w:tc>
          <w:tcPr>
            <w:tcW w:w="63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投入</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宋体" w:hAnsi="宋体"/>
                <w:color w:val="000000"/>
                <w:kern w:val="0"/>
                <w:sz w:val="24"/>
              </w:rPr>
            </w:pPr>
            <w:r>
              <w:rPr>
                <w:rFonts w:ascii="仿宋_GB2312" w:hAnsi="宋体"/>
                <w:color w:val="000000"/>
                <w:kern w:val="0"/>
                <w:sz w:val="20"/>
                <w:szCs w:val="20"/>
              </w:rPr>
              <w:t>（20分）</w:t>
            </w:r>
          </w:p>
        </w:tc>
        <w:tc>
          <w:tcPr>
            <w:tcW w:w="67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项目立项</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（12分）</w:t>
            </w: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项目立项规范性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项目的申请、设立过程是否符合相关要求，用以反映和考核项目立项的规范情况。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①项目是否按照规定的程序申请设立；</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②所提交的文件、材料是否符合相关要求；</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642"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③事前是否已经过必要的可行性研究、专家论证、风险评估、集体决策等。</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绩效目标合理性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项目所设定的绩效目标是否依据充分，是否符合客观实际，用以反映和考核项目绩效目标与项目实施的相符情况。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①是否符合国家相关法律法规，国民经济发展规划和党委政府决策；</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②是否与项目实施单位或委托单位职责密切相关；</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③项目是否为促进事业发展所必需；</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trHeight w:val="61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④项目预期产出效益和效果是否符合正常的业绩水平。</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绩效指标明确性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依据绩效目标设定的绩效指标是否清晰、细化、可衡量等，用以反映和考核项目绩效目标的明细化情况。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①是否将项目绩效目标细化分解为具体的绩效指标；</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②是否通过清晰、可衡量的指标值予以体现；</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③是否与项目年度任务</w:t>
            </w:r>
            <w:r>
              <w:rPr>
                <w:rFonts w:hint="eastAsia" w:ascii="仿宋_GB2312" w:hAnsi="宋体"/>
                <w:color w:val="000000"/>
                <w:kern w:val="0"/>
                <w:sz w:val="20"/>
                <w:szCs w:val="20"/>
              </w:rPr>
              <w:t>数</w:t>
            </w:r>
            <w:r>
              <w:rPr>
                <w:rFonts w:ascii="仿宋_GB2312" w:hAnsi="宋体"/>
                <w:color w:val="000000"/>
                <w:kern w:val="0"/>
                <w:sz w:val="20"/>
                <w:szCs w:val="20"/>
              </w:rPr>
              <w:t>或计划数相对应；</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tblPrEx>
          <w:tblCellMar>
            <w:top w:w="0" w:type="dxa"/>
            <w:left w:w="108" w:type="dxa"/>
            <w:bottom w:w="0" w:type="dxa"/>
            <w:right w:w="108" w:type="dxa"/>
          </w:tblCellMar>
        </w:tblPrEx>
        <w:trPr>
          <w:trHeight w:val="675"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④是否与预期确定的项目投资额或资金量相匹配。</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资金落实</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资金到位率（4分）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实际到位资金与计划投入资金的比率，用以反映和考核资金落实情况对项目实施的总体保障程度。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资金到位率=（实际到位资金/计划投入资金）×100%。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实际到位资金：一定时期（本年度或项目期）内实际落实到具体项目的资金。</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780"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计划投入资金：一定时期（本年度或项目期）内计划投入到具体项目的资金。</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到位及时率（4分）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及时到位资金与应到位资金的比率，用以反映和考核项目资金落实的及时性程度。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到位及时率＝（及时到位资金/应到位资金）×100%。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及时到位资金：截至规定时点实际落实到具体项目的资金。</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eastAsia="宋体"/>
                <w:color w:val="000000"/>
                <w:kern w:val="0"/>
                <w:sz w:val="24"/>
                <w:lang w:eastAsia="zh-CN"/>
              </w:rPr>
            </w:pPr>
            <w:r>
              <w:rPr>
                <w:rFonts w:hint="eastAsia" w:ascii="宋体" w:hAnsi="宋体"/>
                <w:color w:val="000000"/>
                <w:kern w:val="0"/>
                <w:sz w:val="24"/>
                <w:lang w:val="en-US" w:eastAsia="zh-CN"/>
              </w:rPr>
              <w:t>4</w:t>
            </w:r>
          </w:p>
        </w:tc>
      </w:tr>
      <w:tr>
        <w:tblPrEx>
          <w:tblCellMar>
            <w:top w:w="0" w:type="dxa"/>
            <w:left w:w="108" w:type="dxa"/>
            <w:bottom w:w="0" w:type="dxa"/>
            <w:right w:w="108" w:type="dxa"/>
          </w:tblCellMar>
        </w:tblPrEx>
        <w:trPr>
          <w:trHeight w:val="862"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应到位资金：按照合同或项目进度要求截至规定时点应落实到具体项目的资金。</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restart"/>
            <w:tcBorders>
              <w:top w:val="nil"/>
              <w:left w:val="single" w:color="auto" w:sz="4" w:space="0"/>
              <w:bottom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过程</w:t>
            </w:r>
          </w:p>
          <w:p>
            <w:pPr>
              <w:keepNext w:val="0"/>
              <w:keepLines w:val="0"/>
              <w:pageBreakBefore w:val="0"/>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（30分）</w:t>
            </w:r>
          </w:p>
        </w:tc>
        <w:tc>
          <w:tcPr>
            <w:tcW w:w="673" w:type="dxa"/>
            <w:vMerge w:val="restart"/>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业务管理</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（10分）</w:t>
            </w:r>
          </w:p>
          <w:p>
            <w:pPr>
              <w:keepNext w:val="0"/>
              <w:keepLines w:val="0"/>
              <w:pageBreakBefore w:val="0"/>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管理制度健全</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项目实施单位的业务管理制度是否健全，用以反映和考核业务管理制度对项目顺利实施的保障情况。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①是否已制定或具有相应的业务管理制度；</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633"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②业务管理制度是否合法、合规、完整。</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制度执行有效性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项目实施是否符合相关业务管理规定，用以反映和考核业务管理制度的有效执行情况。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①是否遵守相关法律法规和业务管理规定；</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②项目调整及支出调整手续是否完备；</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③项目合同书、验收报告、技术审定等资料是否齐全并及时归档</w:t>
            </w:r>
            <w:r>
              <w:rPr>
                <w:rFonts w:hint="eastAsia" w:ascii="仿宋_GB2312" w:hAnsi="宋体"/>
                <w:color w:val="000000"/>
                <w:kern w:val="0"/>
                <w:sz w:val="20"/>
                <w:szCs w:val="20"/>
              </w:rPr>
              <w:t>；</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900"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④项目实施的人员条件、场地设备，信息支撑等是否落实到位。</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项目质量可控性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项目实施单位是否为达到项目质量要求而采取了必需的措施，用以反映和考核项目实施单位对项目质量的控制情况。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①是否已制定或其有相应的项目质量要求或标准；</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trHeight w:val="896"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②是否采取了相应的项目质量检查、验收等必需的控制措施或手段。</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restart"/>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财务管理</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（20分）</w:t>
            </w: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管理制度健全性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（5分）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项目实施单位的财务制度是否健全，用以反映和考核财务管理制度对资金规范安全运行的保障情况。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①是否已制定或具有相应的项目资金管理办法；</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trHeight w:val="866"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②项目资金管理办法是否符合相关财务会计制度的规定。</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5</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资金使用合规性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（7分）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项目资金使用是否符合相关的财务管理制度规定，用以反映和考核项目资金的规范运行情况。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①是否符合国家财经法规和财务管理以及有关专项资金管理办法的规定；</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②资金的拨付是否有完整的审批程序和手续；</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③项目的重大开支是否经过评估认证；</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仿宋_GB2312" w:hAnsi="宋体"/>
                <w:color w:val="000000"/>
                <w:kern w:val="0"/>
                <w:sz w:val="20"/>
                <w:szCs w:val="20"/>
              </w:rPr>
            </w:pPr>
            <w:r>
              <w:rPr>
                <w:rFonts w:ascii="仿宋_GB2312" w:hAnsi="宋体"/>
                <w:color w:val="000000"/>
                <w:kern w:val="0"/>
                <w:sz w:val="20"/>
                <w:szCs w:val="20"/>
              </w:rPr>
              <w:t>④是否符合项目预算批复或合同规定的用途；</w:t>
            </w:r>
          </w:p>
          <w:p>
            <w:pPr>
              <w:keepNext w:val="0"/>
              <w:keepLines w:val="0"/>
              <w:pageBreakBefore w:val="0"/>
              <w:widowControl/>
              <w:kinsoku/>
              <w:wordWrap/>
              <w:overflowPunct/>
              <w:topLinePunct w:val="0"/>
              <w:autoSpaceDE/>
              <w:autoSpaceDN/>
              <w:bidi w:val="0"/>
              <w:adjustRightInd/>
              <w:snapToGrid/>
              <w:spacing w:line="240" w:lineRule="atLeast"/>
              <w:ind w:left="0"/>
              <w:rPr>
                <w:rFonts w:hint="eastAsia" w:ascii="仿宋_GB2312" w:hAnsi="宋体"/>
                <w:color w:val="000000"/>
                <w:kern w:val="0"/>
                <w:sz w:val="20"/>
                <w:szCs w:val="20"/>
              </w:rPr>
            </w:pPr>
            <w:r>
              <w:rPr>
                <w:rFonts w:ascii="仿宋_GB2312" w:hAnsi="宋体"/>
                <w:color w:val="000000"/>
                <w:kern w:val="0"/>
                <w:sz w:val="20"/>
                <w:szCs w:val="20"/>
              </w:rPr>
              <w:t>⑤是否存在截留、挤占、挪用、虚列支出等情况。</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trHeight w:val="377"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财务监控有效性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项目实施单位是否为保障资金的安全、规范运行而采取了必要的监控措施，用以反映和考核项目实施单位对资金运行的控制情况。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①是否已制定或具有相应的监控机制；</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trHeight w:val="824"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②是否采取了相应的财务检查等必要的监控措施或手段。</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jc w:val="center"/>
        </w:trPr>
        <w:tc>
          <w:tcPr>
            <w:tcW w:w="63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产出</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（30分）</w:t>
            </w:r>
          </w:p>
        </w:tc>
        <w:tc>
          <w:tcPr>
            <w:tcW w:w="67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项目产出</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（30分）</w:t>
            </w: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实际完成率（7分）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项目实施的实际产出数与计划产出数的比率，用以反映和考核项目产出数量目标的实现程度。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实际完成率＝（实际产出数/计划产出数）×100%。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trHeight w:val="568"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实际产出数：一定时期（本年度或项目期）内项目实际产出的产品或提供的服务数。</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trHeight w:val="822"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计划产出数：项目绩效目标确定的在一定时期（本年度或项目期）内计划产出的产品或提供的服务数量。</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完成及时率</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（7分）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项目实际提前完成时间与计划完成时间的比率，用以反映和考核项目产出时效目标的实现程度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 xml:space="preserve">完成及时率[ </w:t>
            </w:r>
            <w:r>
              <w:rPr>
                <w:rFonts w:hint="eastAsia" w:ascii="仿宋_GB2312" w:hAnsi="宋体"/>
                <w:color w:val="000000"/>
                <w:kern w:val="0"/>
                <w:sz w:val="20"/>
                <w:szCs w:val="20"/>
              </w:rPr>
              <w:t>（</w:t>
            </w:r>
            <w:r>
              <w:rPr>
                <w:rFonts w:ascii="仿宋_GB2312" w:hAnsi="宋体"/>
                <w:color w:val="000000"/>
                <w:kern w:val="0"/>
                <w:sz w:val="20"/>
                <w:szCs w:val="20"/>
              </w:rPr>
              <w:t>计划完成时间-实际完成时间）/计划完成时间]</w:t>
            </w:r>
            <w:r>
              <w:rPr>
                <w:rFonts w:ascii="宋体" w:hAnsi="宋体"/>
                <w:color w:val="000000"/>
                <w:kern w:val="0"/>
                <w:sz w:val="20"/>
                <w:szCs w:val="20"/>
              </w:rPr>
              <w:t> </w:t>
            </w:r>
            <w:r>
              <w:rPr>
                <w:rFonts w:ascii="仿宋_GB2312" w:hAnsi="宋体"/>
                <w:color w:val="000000"/>
                <w:kern w:val="0"/>
                <w:sz w:val="20"/>
                <w:szCs w:val="20"/>
              </w:rPr>
              <w:t>×100%。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实际完成时间：项目实施单位完成该项目实际所耗用的时间。</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trHeight w:val="51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计划完成时间：按照项目实施计划或相关规定完成该项目所需的时间。</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质量达标率</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项目完成的质量达标产出数与实际产出数的比率，用以反映和考核项目产出质量目标的实现程度。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质量达标率＝（质量达标产出数/实际产出数）/100%。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质量达标产出数：一定时期（本年度或项目期）内实际达到既定质量标准的产品或服务数量。</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trHeight w:val="100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既定质量标准是指项目实施单位设立绩效目标时依据计划标准、行业标准、历史标准或其他标准而设定的绩效指标值。</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成本节约率</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完成项目计划工作目标的实际节约成本与计划成本的比率，用以反映和考核项目的成本节约程度。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成本节约率＝</w:t>
            </w:r>
            <w:r>
              <w:rPr>
                <w:rFonts w:hint="eastAsia" w:ascii="仿宋_GB2312" w:hAnsi="宋体"/>
                <w:color w:val="000000"/>
                <w:kern w:val="0"/>
                <w:sz w:val="20"/>
                <w:szCs w:val="20"/>
              </w:rPr>
              <w:t>（</w:t>
            </w:r>
            <w:r>
              <w:rPr>
                <w:rFonts w:ascii="仿宋_GB2312" w:hAnsi="宋体"/>
                <w:color w:val="000000"/>
                <w:kern w:val="0"/>
                <w:sz w:val="20"/>
                <w:szCs w:val="20"/>
              </w:rPr>
              <w:t>计划成本-实际成本</w:t>
            </w:r>
            <w:r>
              <w:rPr>
                <w:rFonts w:hint="eastAsia" w:ascii="仿宋_GB2312" w:hAnsi="宋体"/>
                <w:color w:val="000000"/>
                <w:kern w:val="0"/>
                <w:sz w:val="20"/>
                <w:szCs w:val="20"/>
              </w:rPr>
              <w:t>）</w:t>
            </w:r>
            <w:r>
              <w:rPr>
                <w:rFonts w:ascii="宋体" w:hAnsi="宋体"/>
                <w:color w:val="000000"/>
                <w:kern w:val="0"/>
                <w:sz w:val="20"/>
                <w:szCs w:val="20"/>
              </w:rPr>
              <w:t> </w:t>
            </w:r>
            <w:r>
              <w:rPr>
                <w:rFonts w:ascii="仿宋_GB2312" w:hAnsi="宋体"/>
                <w:color w:val="000000"/>
                <w:kern w:val="0"/>
                <w:sz w:val="20"/>
                <w:szCs w:val="20"/>
              </w:rPr>
              <w:t>/计划成本×100%。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实际成本：项目实施单位如期、保质、保量完成既定工作目标实际所耗费的支出。</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trHeight w:val="567"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计划成本：项目实施单位为完成工作目标计划安排的支出，一般以项目预算为参考。</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trHeight w:val="667" w:hRule="atLeast"/>
          <w:jc w:val="center"/>
        </w:trPr>
        <w:tc>
          <w:tcPr>
            <w:tcW w:w="63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效果</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（20分）</w:t>
            </w:r>
          </w:p>
        </w:tc>
        <w:tc>
          <w:tcPr>
            <w:tcW w:w="67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项目效益</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（20分）</w:t>
            </w: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经济效益</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项目实施对经济发展所带来的直接或间接影响情况。</w:t>
            </w:r>
          </w:p>
        </w:tc>
        <w:tc>
          <w:tcPr>
            <w:tcW w:w="4062"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此四项指标为设置项目支出</w:t>
            </w:r>
            <w:r>
              <w:rPr>
                <w:rFonts w:hint="eastAsia" w:ascii="仿宋_GB2312" w:hAnsi="宋体"/>
                <w:color w:val="000000"/>
                <w:kern w:val="0"/>
                <w:sz w:val="20"/>
                <w:szCs w:val="20"/>
              </w:rPr>
              <w:t>绩效评价</w:t>
            </w:r>
            <w:r>
              <w:rPr>
                <w:rFonts w:ascii="仿宋_GB2312" w:hAnsi="宋体"/>
                <w:color w:val="000000"/>
                <w:kern w:val="0"/>
                <w:sz w:val="20"/>
                <w:szCs w:val="20"/>
              </w:rPr>
              <w:t>指标时必须考虑的共性要素，可根据项目实际并结合绩效目标设立情况有选择的进行设置，并将其细化为相应的个性化指标。</w:t>
            </w:r>
          </w:p>
        </w:tc>
        <w:tc>
          <w:tcPr>
            <w:tcW w:w="358" w:type="dxa"/>
            <w:tcBorders>
              <w:top w:val="nil"/>
              <w:left w:val="nil"/>
              <w:bottom w:val="single" w:color="000000"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604"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社会效益</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项目实施对社会发展所带来的直接或间接影响情况。</w:t>
            </w:r>
          </w:p>
        </w:tc>
        <w:tc>
          <w:tcPr>
            <w:tcW w:w="4062"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358" w:type="dxa"/>
            <w:tcBorders>
              <w:top w:val="nil"/>
              <w:left w:val="nil"/>
              <w:bottom w:val="single" w:color="000000"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755"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生态效益</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项目实施对生态环境所带来的直接或间接影响情况。</w:t>
            </w:r>
          </w:p>
        </w:tc>
        <w:tc>
          <w:tcPr>
            <w:tcW w:w="4062"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358" w:type="dxa"/>
            <w:tcBorders>
              <w:top w:val="nil"/>
              <w:left w:val="nil"/>
              <w:bottom w:val="single" w:color="000000"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59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可持续影响（4分）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项目后续运行及成效发挥的可持续影响情况。</w:t>
            </w:r>
          </w:p>
        </w:tc>
        <w:tc>
          <w:tcPr>
            <w:tcW w:w="4062"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358" w:type="dxa"/>
            <w:tcBorders>
              <w:top w:val="nil"/>
              <w:left w:val="nil"/>
              <w:bottom w:val="single" w:color="000000"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90" w:hRule="atLeast"/>
          <w:jc w:val="center"/>
        </w:trPr>
        <w:tc>
          <w:tcPr>
            <w:tcW w:w="63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18"/>
                <w:szCs w:val="18"/>
              </w:rPr>
            </w:pPr>
            <w:r>
              <w:rPr>
                <w:rFonts w:ascii="仿宋_GB2312" w:hAnsi="宋体"/>
                <w:color w:val="000000"/>
                <w:kern w:val="0"/>
                <w:sz w:val="18"/>
                <w:szCs w:val="18"/>
              </w:rPr>
              <w:t>社会公众或服务对象满意度（6分）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社会公众或服务对象对项目实施</w:t>
            </w:r>
            <w:r>
              <w:rPr>
                <w:rFonts w:hint="eastAsia" w:ascii="仿宋_GB2312" w:hAnsi="宋体"/>
                <w:color w:val="000000"/>
                <w:kern w:val="0"/>
                <w:sz w:val="20"/>
                <w:szCs w:val="20"/>
              </w:rPr>
              <w:t>效果</w:t>
            </w:r>
            <w:r>
              <w:rPr>
                <w:rFonts w:ascii="仿宋_GB2312" w:hAnsi="宋体"/>
                <w:color w:val="000000"/>
                <w:kern w:val="0"/>
                <w:sz w:val="20"/>
                <w:szCs w:val="20"/>
              </w:rPr>
              <w:t>的满意程度</w:t>
            </w: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18"/>
                <w:szCs w:val="18"/>
              </w:rPr>
            </w:pPr>
            <w:r>
              <w:rPr>
                <w:rFonts w:ascii="仿宋_GB2312" w:hAnsi="宋体"/>
                <w:color w:val="000000"/>
                <w:kern w:val="0"/>
                <w:sz w:val="18"/>
                <w:szCs w:val="18"/>
              </w:rPr>
              <w:t>社会公众或服务对象是指因该项目实施而受到影响的部门</w:t>
            </w:r>
            <w:r>
              <w:rPr>
                <w:rFonts w:hint="eastAsia" w:ascii="仿宋_GB2312" w:hAnsi="宋体"/>
                <w:color w:val="000000"/>
                <w:kern w:val="0"/>
                <w:sz w:val="18"/>
                <w:szCs w:val="18"/>
              </w:rPr>
              <w:t>（</w:t>
            </w:r>
            <w:r>
              <w:rPr>
                <w:rFonts w:ascii="仿宋_GB2312" w:hAnsi="宋体"/>
                <w:color w:val="000000"/>
                <w:kern w:val="0"/>
                <w:sz w:val="18"/>
                <w:szCs w:val="18"/>
              </w:rPr>
              <w:t>单位</w:t>
            </w:r>
            <w:r>
              <w:rPr>
                <w:rFonts w:hint="eastAsia" w:ascii="仿宋_GB2312" w:hAnsi="宋体"/>
                <w:color w:val="000000"/>
                <w:kern w:val="0"/>
                <w:sz w:val="18"/>
                <w:szCs w:val="18"/>
              </w:rPr>
              <w:t>）</w:t>
            </w:r>
            <w:r>
              <w:rPr>
                <w:rFonts w:ascii="仿宋_GB2312" w:hAnsi="宋体"/>
                <w:color w:val="000000"/>
                <w:kern w:val="0"/>
                <w:sz w:val="18"/>
                <w:szCs w:val="18"/>
              </w:rPr>
              <w:t>、群体或个人。一般采取社会调查的方式。</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6</w:t>
            </w:r>
          </w:p>
        </w:tc>
      </w:tr>
      <w:tr>
        <w:tblPrEx>
          <w:tblCellMar>
            <w:top w:w="0" w:type="dxa"/>
            <w:left w:w="108" w:type="dxa"/>
            <w:bottom w:w="0" w:type="dxa"/>
            <w:right w:w="108" w:type="dxa"/>
          </w:tblCellMar>
        </w:tblPrEx>
        <w:trPr>
          <w:trHeight w:val="90" w:hRule="atLeast"/>
          <w:jc w:val="center"/>
        </w:trPr>
        <w:tc>
          <w:tcPr>
            <w:tcW w:w="1303"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7837"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100</w:t>
            </w:r>
          </w:p>
        </w:tc>
      </w:tr>
    </w:tbl>
    <w:p>
      <w:pPr>
        <w:keepNext w:val="0"/>
        <w:keepLines w:val="0"/>
        <w:pageBreakBefore w:val="0"/>
        <w:kinsoku/>
        <w:wordWrap/>
        <w:overflowPunct/>
        <w:topLinePunct w:val="0"/>
        <w:autoSpaceDE/>
        <w:autoSpaceDN/>
        <w:bidi w:val="0"/>
        <w:adjustRightInd/>
        <w:snapToGrid/>
        <w:spacing w:line="240" w:lineRule="atLeast"/>
        <w:ind w:left="0"/>
      </w:pPr>
    </w:p>
    <w:p>
      <w:pPr>
        <w:keepNext w:val="0"/>
        <w:keepLines w:val="0"/>
        <w:pageBreakBefore w:val="0"/>
        <w:kinsoku/>
        <w:wordWrap/>
        <w:overflowPunct/>
        <w:topLinePunct w:val="0"/>
        <w:autoSpaceDE/>
        <w:autoSpaceDN/>
        <w:bidi w:val="0"/>
        <w:adjustRightInd/>
        <w:snapToGrid/>
        <w:spacing w:line="240" w:lineRule="atLeast"/>
        <w:ind w:left="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icrosoft YaHei UI">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33</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Y5Y2YzMzQ3MTkzZDE4MTdjMmNkZWU4OGIwMjE5MjIifQ=="/>
  </w:docVars>
  <w:rsids>
    <w:rsidRoot w:val="26F76658"/>
    <w:rsid w:val="000927A2"/>
    <w:rsid w:val="001148A4"/>
    <w:rsid w:val="003B1EB4"/>
    <w:rsid w:val="00EB3CD1"/>
    <w:rsid w:val="01086C64"/>
    <w:rsid w:val="018450A2"/>
    <w:rsid w:val="01D42B6D"/>
    <w:rsid w:val="065A4606"/>
    <w:rsid w:val="0CD36378"/>
    <w:rsid w:val="0F4306BA"/>
    <w:rsid w:val="0FCB77DB"/>
    <w:rsid w:val="10D16F18"/>
    <w:rsid w:val="117C7EE7"/>
    <w:rsid w:val="13EC5F71"/>
    <w:rsid w:val="144E4536"/>
    <w:rsid w:val="15363368"/>
    <w:rsid w:val="19143FA0"/>
    <w:rsid w:val="19E255FA"/>
    <w:rsid w:val="1C200EAE"/>
    <w:rsid w:val="1D7B31AC"/>
    <w:rsid w:val="1DA21E5C"/>
    <w:rsid w:val="1E197963"/>
    <w:rsid w:val="1E675979"/>
    <w:rsid w:val="1FD152C6"/>
    <w:rsid w:val="20254CE5"/>
    <w:rsid w:val="209F553A"/>
    <w:rsid w:val="22B83BEE"/>
    <w:rsid w:val="25772795"/>
    <w:rsid w:val="25F46FCE"/>
    <w:rsid w:val="26247A03"/>
    <w:rsid w:val="26F76658"/>
    <w:rsid w:val="29032A64"/>
    <w:rsid w:val="29EA2C0B"/>
    <w:rsid w:val="2A4036ED"/>
    <w:rsid w:val="2D5E5203"/>
    <w:rsid w:val="31E139C2"/>
    <w:rsid w:val="3579545F"/>
    <w:rsid w:val="38EE0F44"/>
    <w:rsid w:val="3AC86541"/>
    <w:rsid w:val="3B2B02C4"/>
    <w:rsid w:val="3D23109A"/>
    <w:rsid w:val="3D3330CD"/>
    <w:rsid w:val="3FC27A03"/>
    <w:rsid w:val="41C061C4"/>
    <w:rsid w:val="41EC125B"/>
    <w:rsid w:val="42290E73"/>
    <w:rsid w:val="43A0005B"/>
    <w:rsid w:val="43B4782A"/>
    <w:rsid w:val="43FC219C"/>
    <w:rsid w:val="448A696E"/>
    <w:rsid w:val="457F1EF2"/>
    <w:rsid w:val="479848A9"/>
    <w:rsid w:val="49CA5E32"/>
    <w:rsid w:val="4B3544BD"/>
    <w:rsid w:val="4B8F7333"/>
    <w:rsid w:val="4FD7252C"/>
    <w:rsid w:val="4FFC6154"/>
    <w:rsid w:val="50454464"/>
    <w:rsid w:val="50732BBE"/>
    <w:rsid w:val="52481FEA"/>
    <w:rsid w:val="52FC40CD"/>
    <w:rsid w:val="53C9715A"/>
    <w:rsid w:val="54680721"/>
    <w:rsid w:val="551B39E5"/>
    <w:rsid w:val="558B6EAE"/>
    <w:rsid w:val="591542C8"/>
    <w:rsid w:val="59570D64"/>
    <w:rsid w:val="5C415BB9"/>
    <w:rsid w:val="5EF13A09"/>
    <w:rsid w:val="5F814D8D"/>
    <w:rsid w:val="6051475F"/>
    <w:rsid w:val="612C534F"/>
    <w:rsid w:val="63DB5E63"/>
    <w:rsid w:val="64D67929"/>
    <w:rsid w:val="65752C9E"/>
    <w:rsid w:val="672F3320"/>
    <w:rsid w:val="67FF6697"/>
    <w:rsid w:val="68A92037"/>
    <w:rsid w:val="695E7EED"/>
    <w:rsid w:val="6A275A32"/>
    <w:rsid w:val="6AFF0859"/>
    <w:rsid w:val="6D995997"/>
    <w:rsid w:val="6F5B1156"/>
    <w:rsid w:val="710A62E9"/>
    <w:rsid w:val="71EF202A"/>
    <w:rsid w:val="754C049D"/>
    <w:rsid w:val="77106CCA"/>
    <w:rsid w:val="77470212"/>
    <w:rsid w:val="774E77F3"/>
    <w:rsid w:val="78F67E30"/>
    <w:rsid w:val="7A3D6C8D"/>
    <w:rsid w:val="7A996FD7"/>
    <w:rsid w:val="7CB43C54"/>
    <w:rsid w:val="7F6E4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p17"/>
    <w:basedOn w:val="1"/>
    <w:autoRedefine/>
    <w:qFormat/>
    <w:uiPriority w:val="0"/>
    <w:pPr>
      <w:widowControl/>
    </w:pPr>
    <w:rPr>
      <w:kern w:val="0"/>
      <w:szCs w:val="21"/>
    </w:rPr>
  </w:style>
  <w:style w:type="paragraph" w:styleId="8">
    <w:name w:val="List Paragraph"/>
    <w:basedOn w:val="1"/>
    <w:autoRedefine/>
    <w:qFormat/>
    <w:uiPriority w:val="99"/>
    <w:pPr>
      <w:ind w:firstLine="420" w:firstLineChars="20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2857</Words>
  <Characters>16288</Characters>
  <Lines>135</Lines>
  <Paragraphs>38</Paragraphs>
  <TotalTime>11</TotalTime>
  <ScaleCrop>false</ScaleCrop>
  <LinksUpToDate>false</LinksUpToDate>
  <CharactersWithSpaces>19107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2024-05-07T03:13:00Z</dcterms:created>
  <dc:creator>___怎扰</dc:creator>
  <cp:lastModifiedBy>安</cp:lastModifiedBy>
  <dcterms:modified xsi:type="dcterms:W3CDTF">2024-05-09T06:21:03Z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7B6877562CB14D5A8721037A221F0FDA_11</vt:lpwstr>
  </property>
</Properties>
</file>